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宋体" w:hAnsi="宋体"/>
          <w:b/>
          <w:sz w:val="44"/>
          <w:szCs w:val="44"/>
          <w:lang w:val="zh-CN"/>
        </w:rPr>
      </w:pPr>
    </w:p>
    <w:p>
      <w:pPr>
        <w:spacing w:line="420" w:lineRule="exact"/>
        <w:jc w:val="center"/>
        <w:rPr>
          <w:rFonts w:ascii="宋体" w:hAnsi="宋体"/>
          <w:sz w:val="36"/>
        </w:rPr>
      </w:pPr>
    </w:p>
    <w:p>
      <w:pPr>
        <w:spacing w:line="420" w:lineRule="exact"/>
        <w:jc w:val="center"/>
        <w:rPr>
          <w:rFonts w:ascii="黑体" w:hAnsi="黑体" w:eastAsia="黑体"/>
          <w:w w:val="90"/>
          <w:kern w:val="0"/>
          <w:sz w:val="44"/>
          <w:szCs w:val="44"/>
        </w:rPr>
      </w:pPr>
    </w:p>
    <w:p>
      <w:pPr>
        <w:spacing w:line="420" w:lineRule="exact"/>
        <w:jc w:val="center"/>
        <w:rPr>
          <w:rFonts w:ascii="黑体" w:hAnsi="黑体" w:eastAsia="黑体"/>
          <w:w w:val="90"/>
          <w:kern w:val="0"/>
          <w:sz w:val="44"/>
          <w:szCs w:val="44"/>
        </w:rPr>
      </w:pPr>
      <w:r>
        <w:rPr>
          <w:rFonts w:ascii="黑体" w:hAnsi="黑体" w:eastAsia="黑体"/>
          <w:w w:val="90"/>
          <w:kern w:val="0"/>
          <w:sz w:val="44"/>
          <w:szCs w:val="44"/>
        </w:rPr>
        <w:t>紫琅科技城网络数据安全服务采购项目</w:t>
      </w:r>
    </w:p>
    <w:p>
      <w:pPr>
        <w:spacing w:line="420" w:lineRule="exact"/>
        <w:jc w:val="center"/>
        <w:rPr>
          <w:rFonts w:ascii="宋体" w:hAnsi="宋体"/>
          <w:sz w:val="28"/>
        </w:rPr>
      </w:pPr>
    </w:p>
    <w:p>
      <w:pPr>
        <w:spacing w:line="420" w:lineRule="exact"/>
        <w:jc w:val="center"/>
        <w:rPr>
          <w:rFonts w:ascii="宋体" w:hAnsi="宋体"/>
          <w:w w:val="200"/>
          <w:sz w:val="46"/>
          <w:szCs w:val="46"/>
        </w:rPr>
      </w:pPr>
    </w:p>
    <w:p>
      <w:pPr>
        <w:spacing w:line="420" w:lineRule="exact"/>
        <w:jc w:val="center"/>
        <w:rPr>
          <w:rFonts w:ascii="宋体" w:hAnsi="宋体"/>
          <w:w w:val="200"/>
          <w:sz w:val="46"/>
          <w:szCs w:val="46"/>
        </w:rPr>
      </w:pPr>
    </w:p>
    <w:p>
      <w:pPr>
        <w:spacing w:line="420" w:lineRule="exact"/>
        <w:jc w:val="center"/>
        <w:rPr>
          <w:rFonts w:ascii="宋体" w:hAnsi="宋体"/>
          <w:w w:val="200"/>
          <w:sz w:val="46"/>
          <w:szCs w:val="46"/>
        </w:rPr>
      </w:pPr>
    </w:p>
    <w:p>
      <w:pPr>
        <w:spacing w:line="420" w:lineRule="exact"/>
        <w:jc w:val="center"/>
        <w:rPr>
          <w:rFonts w:ascii="宋体" w:hAnsi="宋体"/>
          <w:w w:val="200"/>
          <w:sz w:val="46"/>
          <w:szCs w:val="46"/>
        </w:rPr>
      </w:pPr>
    </w:p>
    <w:p>
      <w:pPr>
        <w:spacing w:line="420" w:lineRule="exact"/>
        <w:jc w:val="center"/>
        <w:rPr>
          <w:rFonts w:ascii="宋体" w:hAnsi="宋体"/>
          <w:w w:val="200"/>
          <w:sz w:val="46"/>
          <w:szCs w:val="46"/>
        </w:rPr>
      </w:pPr>
      <w:r>
        <w:rPr>
          <w:rFonts w:hint="eastAsia" w:ascii="宋体" w:hAnsi="宋体"/>
          <w:w w:val="200"/>
          <w:sz w:val="46"/>
          <w:szCs w:val="46"/>
        </w:rPr>
        <w:t>公开招标文件</w:t>
      </w:r>
    </w:p>
    <w:p>
      <w:pPr>
        <w:spacing w:line="420" w:lineRule="exact"/>
        <w:jc w:val="center"/>
        <w:rPr>
          <w:rFonts w:ascii="宋体" w:hAnsi="宋体"/>
          <w:w w:val="200"/>
          <w:sz w:val="46"/>
          <w:szCs w:val="46"/>
        </w:rPr>
      </w:pPr>
    </w:p>
    <w:p>
      <w:pPr>
        <w:spacing w:line="420" w:lineRule="exact"/>
        <w:jc w:val="center"/>
        <w:rPr>
          <w:rFonts w:ascii="宋体" w:hAnsi="宋体"/>
          <w:sz w:val="28"/>
        </w:rPr>
      </w:pPr>
    </w:p>
    <w:p>
      <w:pPr>
        <w:spacing w:line="420" w:lineRule="exact"/>
        <w:jc w:val="center"/>
        <w:rPr>
          <w:rFonts w:hAnsi="宋体"/>
          <w:sz w:val="30"/>
          <w:szCs w:val="30"/>
        </w:rPr>
      </w:pPr>
    </w:p>
    <w:p>
      <w:pPr>
        <w:spacing w:line="420" w:lineRule="exact"/>
        <w:jc w:val="center"/>
        <w:rPr>
          <w:rFonts w:hAnsi="宋体"/>
          <w:sz w:val="30"/>
          <w:szCs w:val="30"/>
        </w:rPr>
      </w:pPr>
    </w:p>
    <w:p>
      <w:pPr>
        <w:spacing w:line="420" w:lineRule="exact"/>
        <w:jc w:val="center"/>
        <w:rPr>
          <w:rFonts w:ascii="宋体" w:hAnsi="宋体"/>
          <w:sz w:val="28"/>
        </w:rPr>
      </w:pPr>
    </w:p>
    <w:p>
      <w:pPr>
        <w:spacing w:line="420" w:lineRule="exact"/>
        <w:jc w:val="center"/>
        <w:rPr>
          <w:rFonts w:ascii="宋体" w:hAnsi="宋体"/>
          <w:sz w:val="28"/>
        </w:rPr>
      </w:pPr>
    </w:p>
    <w:p>
      <w:pPr>
        <w:spacing w:line="420" w:lineRule="exact"/>
        <w:jc w:val="center"/>
        <w:rPr>
          <w:rFonts w:ascii="宋体" w:hAnsi="宋体"/>
          <w:sz w:val="28"/>
        </w:rPr>
      </w:pPr>
    </w:p>
    <w:p>
      <w:pPr>
        <w:spacing w:line="420" w:lineRule="exact"/>
        <w:jc w:val="center"/>
        <w:rPr>
          <w:rFonts w:ascii="宋体" w:hAnsi="宋体"/>
          <w:sz w:val="28"/>
        </w:rPr>
      </w:pPr>
    </w:p>
    <w:p>
      <w:pPr>
        <w:spacing w:line="420" w:lineRule="exact"/>
        <w:jc w:val="center"/>
        <w:rPr>
          <w:rFonts w:ascii="宋体" w:hAnsi="宋体"/>
          <w:sz w:val="28"/>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jc w:val="center"/>
        <w:rPr>
          <w:rFonts w:ascii="仿宋_GB2312" w:eastAsia="仿宋_GB2312"/>
          <w:b/>
          <w:sz w:val="36"/>
          <w:szCs w:val="36"/>
        </w:rPr>
      </w:pPr>
    </w:p>
    <w:p>
      <w:pPr>
        <w:spacing w:line="420" w:lineRule="exact"/>
        <w:ind w:firstLine="1428" w:firstLineChars="395"/>
        <w:jc w:val="left"/>
        <w:rPr>
          <w:rFonts w:ascii="宋体" w:hAnsi="宋体"/>
          <w:b/>
          <w:sz w:val="36"/>
          <w:szCs w:val="36"/>
        </w:rPr>
      </w:pPr>
    </w:p>
    <w:p>
      <w:pPr>
        <w:spacing w:line="560" w:lineRule="exact"/>
        <w:jc w:val="center"/>
        <w:rPr>
          <w:rFonts w:ascii="宋体" w:hAnsi="宋体"/>
          <w:sz w:val="36"/>
          <w:szCs w:val="36"/>
        </w:rPr>
      </w:pPr>
      <w:r>
        <w:rPr>
          <w:rFonts w:hint="eastAsia" w:ascii="宋体" w:hAnsi="宋体"/>
          <w:sz w:val="36"/>
          <w:szCs w:val="36"/>
        </w:rPr>
        <w:t>采购人：南通市中央创新区建设投资有限公司</w:t>
      </w:r>
    </w:p>
    <w:p>
      <w:pPr>
        <w:spacing w:line="560" w:lineRule="exact"/>
        <w:jc w:val="center"/>
        <w:rPr>
          <w:rFonts w:ascii="宋体" w:hAnsi="宋体"/>
          <w:sz w:val="36"/>
          <w:szCs w:val="36"/>
        </w:rPr>
      </w:pPr>
      <w:r>
        <w:rPr>
          <w:rFonts w:hint="eastAsia" w:ascii="宋体" w:hAnsi="宋体"/>
          <w:sz w:val="36"/>
          <w:szCs w:val="36"/>
        </w:rPr>
        <w:t>招标代理：江苏中房工程咨询有限公司</w:t>
      </w:r>
    </w:p>
    <w:p>
      <w:pPr>
        <w:spacing w:line="560" w:lineRule="exact"/>
        <w:jc w:val="center"/>
        <w:rPr>
          <w:rFonts w:ascii="仿宋_GB2312" w:eastAsia="仿宋_GB2312"/>
          <w:sz w:val="36"/>
          <w:szCs w:val="36"/>
        </w:rPr>
      </w:pPr>
      <w:r>
        <w:rPr>
          <w:rFonts w:hint="eastAsia" w:ascii="仿宋_GB2312" w:eastAsia="仿宋_GB2312"/>
          <w:sz w:val="36"/>
          <w:szCs w:val="36"/>
        </w:rPr>
        <w:t>二〇二三年</w:t>
      </w:r>
      <w:r>
        <w:rPr>
          <w:rFonts w:hint="eastAsia" w:ascii="仿宋_GB2312" w:eastAsia="仿宋_GB2312"/>
          <w:sz w:val="36"/>
          <w:szCs w:val="36"/>
          <w:lang w:val="zh-CN"/>
        </w:rPr>
        <w:t>十一</w:t>
      </w:r>
      <w:r>
        <w:rPr>
          <w:rFonts w:hint="eastAsia" w:ascii="仿宋_GB2312" w:eastAsia="仿宋_GB2312"/>
          <w:sz w:val="36"/>
          <w:szCs w:val="36"/>
        </w:rPr>
        <w:t>月</w:t>
      </w:r>
    </w:p>
    <w:p>
      <w:pPr>
        <w:adjustRightInd w:val="0"/>
        <w:snapToGrid w:val="0"/>
        <w:spacing w:line="420" w:lineRule="exact"/>
        <w:ind w:left="-158" w:leftChars="-75" w:right="-601" w:rightChars="-286"/>
        <w:rPr>
          <w:rFonts w:hAnsi="宋体"/>
          <w:snapToGrid w:val="0"/>
          <w:sz w:val="26"/>
          <w:szCs w:val="28"/>
        </w:rPr>
      </w:pPr>
    </w:p>
    <w:p>
      <w:pPr>
        <w:adjustRightInd w:val="0"/>
        <w:snapToGrid w:val="0"/>
        <w:spacing w:line="420" w:lineRule="exact"/>
        <w:ind w:left="-158" w:leftChars="-75" w:right="-601" w:rightChars="-286"/>
        <w:rPr>
          <w:rFonts w:hAnsi="宋体"/>
          <w:snapToGrid w:val="0"/>
          <w:sz w:val="26"/>
          <w:szCs w:val="28"/>
        </w:rPr>
      </w:pPr>
    </w:p>
    <w:p>
      <w:pPr>
        <w:spacing w:line="420" w:lineRule="exact"/>
        <w:jc w:val="center"/>
        <w:rPr>
          <w:rFonts w:ascii="宋体" w:hAnsi="宋体"/>
          <w:snapToGrid w:val="0"/>
          <w:sz w:val="26"/>
          <w:szCs w:val="26"/>
        </w:rPr>
      </w:pPr>
    </w:p>
    <w:p>
      <w:pPr>
        <w:spacing w:line="420" w:lineRule="exact"/>
        <w:jc w:val="center"/>
        <w:rPr>
          <w:rFonts w:ascii="宋体" w:hAnsi="宋体"/>
          <w:b/>
          <w:w w:val="150"/>
          <w:sz w:val="44"/>
          <w:szCs w:val="44"/>
        </w:rPr>
      </w:pPr>
      <w:r>
        <w:rPr>
          <w:rFonts w:hint="eastAsia" w:ascii="宋体" w:hAnsi="宋体"/>
          <w:b/>
          <w:w w:val="150"/>
          <w:sz w:val="44"/>
          <w:szCs w:val="44"/>
        </w:rPr>
        <w:t>目 录</w:t>
      </w:r>
    </w:p>
    <w:p>
      <w:pPr>
        <w:tabs>
          <w:tab w:val="left" w:pos="7740"/>
        </w:tabs>
        <w:spacing w:line="420" w:lineRule="exact"/>
        <w:rPr>
          <w:rFonts w:ascii="宋体" w:hAnsi="宋体"/>
          <w:snapToGrid w:val="0"/>
          <w:sz w:val="26"/>
          <w:szCs w:val="26"/>
        </w:rPr>
      </w:pPr>
    </w:p>
    <w:p>
      <w:pPr>
        <w:tabs>
          <w:tab w:val="left" w:pos="7740"/>
        </w:tabs>
        <w:spacing w:line="420" w:lineRule="exact"/>
        <w:ind w:firstLine="640" w:firstLineChars="200"/>
        <w:rPr>
          <w:rFonts w:ascii="宋体" w:hAnsi="宋体"/>
          <w:spacing w:val="2"/>
          <w:sz w:val="32"/>
          <w:szCs w:val="32"/>
        </w:rPr>
      </w:pPr>
      <w:r>
        <w:rPr>
          <w:rFonts w:hint="eastAsia" w:ascii="宋体" w:hAnsi="宋体"/>
          <w:bCs/>
          <w:sz w:val="32"/>
          <w:szCs w:val="32"/>
        </w:rPr>
        <w:t>第一部分  招标公告</w:t>
      </w:r>
    </w:p>
    <w:p>
      <w:pPr>
        <w:tabs>
          <w:tab w:val="left" w:pos="7740"/>
        </w:tabs>
        <w:spacing w:line="420" w:lineRule="exact"/>
        <w:rPr>
          <w:rFonts w:ascii="宋体" w:hAnsi="宋体"/>
          <w:sz w:val="32"/>
          <w:szCs w:val="32"/>
        </w:rPr>
      </w:pPr>
    </w:p>
    <w:p>
      <w:pPr>
        <w:tabs>
          <w:tab w:val="left" w:pos="7740"/>
        </w:tabs>
        <w:spacing w:line="420" w:lineRule="exact"/>
        <w:ind w:firstLine="640" w:firstLineChars="200"/>
        <w:rPr>
          <w:rFonts w:ascii="宋体" w:hAnsi="宋体"/>
          <w:spacing w:val="2"/>
          <w:sz w:val="32"/>
          <w:szCs w:val="32"/>
        </w:rPr>
      </w:pPr>
      <w:r>
        <w:rPr>
          <w:rFonts w:hint="eastAsia" w:ascii="宋体" w:hAnsi="宋体"/>
          <w:bCs/>
          <w:sz w:val="32"/>
          <w:szCs w:val="32"/>
        </w:rPr>
        <w:t>第二部分  投标须知</w:t>
      </w:r>
    </w:p>
    <w:p>
      <w:pPr>
        <w:spacing w:line="420" w:lineRule="exact"/>
        <w:rPr>
          <w:rFonts w:ascii="宋体" w:hAnsi="宋体"/>
          <w:sz w:val="32"/>
          <w:szCs w:val="32"/>
        </w:rPr>
      </w:pPr>
    </w:p>
    <w:p>
      <w:pPr>
        <w:tabs>
          <w:tab w:val="left" w:pos="7740"/>
        </w:tabs>
        <w:spacing w:line="420" w:lineRule="exact"/>
        <w:ind w:firstLine="640" w:firstLineChars="200"/>
        <w:rPr>
          <w:rFonts w:ascii="宋体" w:hAnsi="宋体"/>
          <w:spacing w:val="2"/>
          <w:sz w:val="32"/>
          <w:szCs w:val="32"/>
        </w:rPr>
      </w:pPr>
      <w:r>
        <w:rPr>
          <w:rFonts w:hint="eastAsia" w:ascii="宋体" w:hAnsi="宋体"/>
          <w:bCs/>
          <w:sz w:val="32"/>
          <w:szCs w:val="32"/>
        </w:rPr>
        <w:t>第三部分  项目需求说明</w:t>
      </w:r>
    </w:p>
    <w:p>
      <w:pPr>
        <w:pStyle w:val="3"/>
        <w:tabs>
          <w:tab w:val="left" w:pos="7740"/>
          <w:tab w:val="left" w:pos="7920"/>
        </w:tabs>
        <w:spacing w:line="420" w:lineRule="exact"/>
        <w:rPr>
          <w:rFonts w:ascii="宋体" w:hAnsi="宋体"/>
          <w:sz w:val="32"/>
          <w:szCs w:val="32"/>
        </w:rPr>
      </w:pPr>
    </w:p>
    <w:p>
      <w:pPr>
        <w:tabs>
          <w:tab w:val="left" w:pos="7740"/>
        </w:tabs>
        <w:spacing w:line="420" w:lineRule="exact"/>
        <w:ind w:firstLine="640" w:firstLineChars="200"/>
        <w:rPr>
          <w:rFonts w:ascii="宋体" w:hAnsi="宋体"/>
          <w:spacing w:val="2"/>
          <w:sz w:val="32"/>
          <w:szCs w:val="32"/>
        </w:rPr>
      </w:pPr>
      <w:r>
        <w:rPr>
          <w:rFonts w:hint="eastAsia" w:ascii="宋体" w:hAnsi="宋体"/>
          <w:sz w:val="32"/>
          <w:szCs w:val="32"/>
        </w:rPr>
        <w:t xml:space="preserve">第四部分  </w:t>
      </w:r>
      <w:r>
        <w:rPr>
          <w:rFonts w:hint="eastAsia" w:ascii="宋体" w:hAnsi="宋体"/>
          <w:bCs/>
          <w:sz w:val="32"/>
          <w:szCs w:val="32"/>
        </w:rPr>
        <w:t>开标和评标</w:t>
      </w:r>
    </w:p>
    <w:p>
      <w:pPr>
        <w:spacing w:line="420" w:lineRule="exact"/>
        <w:rPr>
          <w:rFonts w:ascii="宋体" w:hAnsi="宋体"/>
          <w:sz w:val="32"/>
          <w:szCs w:val="32"/>
        </w:rPr>
      </w:pPr>
    </w:p>
    <w:p>
      <w:pPr>
        <w:tabs>
          <w:tab w:val="left" w:pos="7740"/>
        </w:tabs>
        <w:spacing w:line="420" w:lineRule="exact"/>
        <w:ind w:firstLine="640" w:firstLineChars="200"/>
        <w:rPr>
          <w:rFonts w:ascii="宋体" w:hAnsi="宋体"/>
          <w:bCs/>
          <w:sz w:val="32"/>
          <w:szCs w:val="32"/>
        </w:rPr>
      </w:pPr>
      <w:r>
        <w:rPr>
          <w:rFonts w:hint="eastAsia" w:ascii="宋体" w:hAnsi="宋体"/>
          <w:bCs/>
          <w:sz w:val="32"/>
          <w:szCs w:val="32"/>
        </w:rPr>
        <w:t>第五部分  合同和履约保证</w:t>
      </w:r>
    </w:p>
    <w:p>
      <w:pPr>
        <w:spacing w:line="420" w:lineRule="exact"/>
        <w:rPr>
          <w:rFonts w:ascii="宋体" w:hAnsi="宋体"/>
          <w:sz w:val="32"/>
          <w:szCs w:val="32"/>
        </w:rPr>
      </w:pPr>
    </w:p>
    <w:p>
      <w:pPr>
        <w:tabs>
          <w:tab w:val="left" w:pos="7740"/>
        </w:tabs>
        <w:spacing w:line="420" w:lineRule="exact"/>
        <w:ind w:firstLine="640" w:firstLineChars="200"/>
        <w:rPr>
          <w:rFonts w:ascii="宋体" w:hAnsi="宋体"/>
          <w:bCs/>
          <w:sz w:val="32"/>
          <w:szCs w:val="32"/>
        </w:rPr>
      </w:pPr>
      <w:r>
        <w:rPr>
          <w:rFonts w:hint="eastAsia" w:ascii="宋体" w:hAnsi="宋体"/>
          <w:bCs/>
          <w:sz w:val="32"/>
          <w:szCs w:val="32"/>
        </w:rPr>
        <w:t>第六部分  质疑提出和处理</w:t>
      </w:r>
    </w:p>
    <w:p>
      <w:pPr>
        <w:tabs>
          <w:tab w:val="left" w:pos="7740"/>
        </w:tabs>
        <w:spacing w:line="420" w:lineRule="exact"/>
        <w:ind w:firstLine="640" w:firstLineChars="200"/>
        <w:rPr>
          <w:rFonts w:ascii="宋体" w:hAnsi="宋体"/>
          <w:bCs/>
          <w:sz w:val="32"/>
          <w:szCs w:val="32"/>
        </w:rPr>
      </w:pPr>
    </w:p>
    <w:p>
      <w:pPr>
        <w:tabs>
          <w:tab w:val="left" w:pos="7740"/>
        </w:tabs>
        <w:spacing w:line="420" w:lineRule="exact"/>
        <w:ind w:firstLine="640" w:firstLineChars="200"/>
        <w:rPr>
          <w:rFonts w:ascii="宋体" w:hAnsi="宋体"/>
          <w:spacing w:val="2"/>
          <w:sz w:val="32"/>
          <w:szCs w:val="32"/>
        </w:rPr>
      </w:pPr>
      <w:r>
        <w:rPr>
          <w:rFonts w:hint="eastAsia" w:ascii="宋体" w:hAnsi="宋体"/>
          <w:bCs/>
          <w:sz w:val="32"/>
          <w:szCs w:val="32"/>
        </w:rPr>
        <w:t>第七部分  投标文件组成</w:t>
      </w:r>
    </w:p>
    <w:p>
      <w:pPr>
        <w:spacing w:line="420" w:lineRule="exact"/>
        <w:rPr>
          <w:rFonts w:ascii="宋体" w:hAnsi="宋体"/>
          <w:sz w:val="32"/>
          <w:szCs w:val="32"/>
        </w:rPr>
      </w:pPr>
    </w:p>
    <w:p>
      <w:pPr>
        <w:tabs>
          <w:tab w:val="left" w:pos="7740"/>
        </w:tabs>
        <w:spacing w:line="420" w:lineRule="exact"/>
        <w:ind w:firstLine="640" w:firstLineChars="200"/>
        <w:rPr>
          <w:rFonts w:ascii="宋体" w:hAnsi="宋体"/>
          <w:bCs/>
          <w:sz w:val="32"/>
          <w:szCs w:val="32"/>
        </w:rPr>
      </w:pPr>
    </w:p>
    <w:p>
      <w:pPr>
        <w:adjustRightInd w:val="0"/>
        <w:snapToGrid w:val="0"/>
        <w:spacing w:line="420" w:lineRule="exact"/>
        <w:ind w:left="-158" w:leftChars="-75" w:right="-601" w:rightChars="-286"/>
        <w:rPr>
          <w:rFonts w:ascii="仿宋_GB2312" w:eastAsia="仿宋_GB2312"/>
          <w:b/>
          <w:sz w:val="48"/>
          <w:szCs w:val="48"/>
        </w:rPr>
      </w:pPr>
    </w:p>
    <w:p>
      <w:pPr>
        <w:spacing w:line="420" w:lineRule="exact"/>
        <w:jc w:val="center"/>
        <w:rPr>
          <w:rFonts w:ascii="宋体" w:hAnsi="宋体"/>
          <w:b/>
          <w:sz w:val="36"/>
          <w:szCs w:val="36"/>
        </w:rPr>
        <w:sectPr>
          <w:footerReference r:id="rId3" w:type="default"/>
          <w:pgSz w:w="11906" w:h="16838"/>
          <w:pgMar w:top="1247" w:right="1247" w:bottom="1247" w:left="1247" w:header="851" w:footer="992" w:gutter="0"/>
          <w:pgNumType w:fmt="numberInDash" w:start="0"/>
          <w:cols w:space="720" w:num="1"/>
          <w:docGrid w:type="lines" w:linePitch="312" w:charSpace="0"/>
        </w:sectPr>
      </w:pPr>
    </w:p>
    <w:p>
      <w:pPr>
        <w:spacing w:line="420" w:lineRule="exact"/>
        <w:jc w:val="center"/>
        <w:rPr>
          <w:rFonts w:ascii="宋体" w:hAnsi="宋体"/>
          <w:b/>
          <w:sz w:val="36"/>
          <w:szCs w:val="36"/>
        </w:rPr>
      </w:pPr>
      <w:r>
        <w:rPr>
          <w:rFonts w:hint="eastAsia" w:ascii="宋体" w:hAnsi="宋体"/>
          <w:b/>
          <w:sz w:val="36"/>
          <w:szCs w:val="36"/>
        </w:rPr>
        <w:t>第一部分 招标公告</w:t>
      </w:r>
    </w:p>
    <w:p>
      <w:pPr>
        <w:spacing w:line="420" w:lineRule="exact"/>
        <w:ind w:firstLine="560"/>
        <w:jc w:val="center"/>
        <w:rPr>
          <w:rFonts w:ascii="黑体" w:hAnsi="黑体" w:eastAsia="黑体"/>
          <w:sz w:val="28"/>
          <w:szCs w:val="28"/>
        </w:rPr>
      </w:pPr>
      <w:r>
        <w:rPr>
          <w:rFonts w:hint="eastAsia" w:ascii="黑体" w:hAnsi="黑体" w:eastAsia="黑体"/>
          <w:sz w:val="28"/>
          <w:szCs w:val="28"/>
        </w:rPr>
        <w:t>紫琅科技城网络数据安全服务采购项目招标公告(资格后审)</w:t>
      </w:r>
    </w:p>
    <w:p>
      <w:pPr>
        <w:snapToGrid w:val="0"/>
        <w:spacing w:line="420" w:lineRule="exact"/>
        <w:ind w:firstLine="480" w:firstLineChars="200"/>
        <w:rPr>
          <w:rFonts w:ascii="宋体" w:hAnsi="宋体" w:cs="宋体"/>
          <w:sz w:val="24"/>
          <w:lang w:val="zh-CN"/>
        </w:rPr>
      </w:pPr>
      <w:r>
        <w:rPr>
          <w:rFonts w:hint="eastAsia" w:ascii="宋体" w:hAnsi="宋体" w:cs="宋体"/>
          <w:sz w:val="24"/>
          <w:lang w:val="zh-CN"/>
        </w:rPr>
        <w:t>江苏中房工程咨询有限公司（以下称代理机构）受南通市中央创新区建设投资有限公司（以下简称“采购人”）委托，就紫琅科技城网络数据安全服务采购项目进行公开招标采购。现公告如下：</w:t>
      </w:r>
    </w:p>
    <w:p>
      <w:pPr>
        <w:spacing w:line="420" w:lineRule="exact"/>
        <w:ind w:firstLine="480" w:firstLineChars="200"/>
        <w:rPr>
          <w:rFonts w:ascii="宋体" w:hAnsi="宋体" w:cs="宋体"/>
          <w:sz w:val="24"/>
        </w:rPr>
      </w:pPr>
      <w:r>
        <w:rPr>
          <w:rFonts w:hint="eastAsia" w:ascii="宋体" w:hAnsi="宋体" w:cs="宋体"/>
          <w:sz w:val="24"/>
        </w:rPr>
        <w:t>一、项目名称：紫琅科技城网络数据安全服务采购项目。</w:t>
      </w:r>
    </w:p>
    <w:p>
      <w:pPr>
        <w:spacing w:line="420" w:lineRule="exact"/>
        <w:ind w:firstLine="480" w:firstLineChars="200"/>
        <w:rPr>
          <w:rFonts w:ascii="宋体" w:hAnsi="宋体" w:cs="宋体"/>
          <w:sz w:val="24"/>
        </w:rPr>
      </w:pPr>
      <w:r>
        <w:rPr>
          <w:rFonts w:hint="eastAsia" w:ascii="宋体" w:hAnsi="宋体" w:cs="宋体"/>
          <w:sz w:val="24"/>
        </w:rPr>
        <w:t>二、采购预算：人民币40万元。</w:t>
      </w:r>
    </w:p>
    <w:p>
      <w:pPr>
        <w:spacing w:line="420" w:lineRule="exact"/>
        <w:ind w:firstLine="480" w:firstLineChars="200"/>
        <w:rPr>
          <w:rFonts w:ascii="宋体" w:hAnsi="宋体" w:cs="宋体"/>
          <w:sz w:val="24"/>
        </w:rPr>
      </w:pPr>
      <w:bookmarkStart w:id="0" w:name="_Toc387526365"/>
      <w:bookmarkStart w:id="1" w:name="_Toc387526273"/>
      <w:bookmarkStart w:id="2" w:name="_Toc20597"/>
      <w:bookmarkStart w:id="3" w:name="_Toc387526169"/>
      <w:r>
        <w:rPr>
          <w:rFonts w:hint="eastAsia" w:ascii="宋体" w:hAnsi="宋体" w:cs="宋体"/>
          <w:sz w:val="24"/>
        </w:rPr>
        <w:t>三、</w:t>
      </w:r>
      <w:r>
        <w:rPr>
          <w:rFonts w:ascii="宋体" w:hAnsi="宋体" w:cs="宋体"/>
          <w:sz w:val="24"/>
        </w:rPr>
        <w:t>交货期：自合同签定之日起30个工作日</w:t>
      </w:r>
      <w:r>
        <w:rPr>
          <w:rFonts w:hint="eastAsia" w:ascii="宋体" w:hAnsi="宋体" w:cs="宋体"/>
          <w:sz w:val="24"/>
        </w:rPr>
        <w:t>内完成供货、安装及调试</w:t>
      </w:r>
      <w:r>
        <w:rPr>
          <w:rFonts w:ascii="宋体" w:hAnsi="宋体" w:cs="宋体"/>
          <w:sz w:val="24"/>
        </w:rPr>
        <w:t>。</w:t>
      </w:r>
    </w:p>
    <w:bookmarkEnd w:id="0"/>
    <w:bookmarkEnd w:id="1"/>
    <w:bookmarkEnd w:id="2"/>
    <w:bookmarkEnd w:id="3"/>
    <w:p>
      <w:pPr>
        <w:spacing w:line="420" w:lineRule="exact"/>
        <w:ind w:firstLine="480" w:firstLineChars="200"/>
        <w:rPr>
          <w:rFonts w:ascii="宋体" w:hAnsi="宋体" w:cs="宋体"/>
          <w:sz w:val="24"/>
        </w:rPr>
      </w:pPr>
      <w:r>
        <w:rPr>
          <w:rFonts w:hint="eastAsia" w:ascii="宋体" w:hAnsi="宋体" w:cs="宋体"/>
          <w:sz w:val="24"/>
        </w:rPr>
        <w:t>四、项目需求：</w:t>
      </w:r>
      <w:r>
        <w:rPr>
          <w:rFonts w:ascii="宋体" w:hAnsi="宋体" w:cs="宋体"/>
          <w:sz w:val="24"/>
        </w:rPr>
        <w:t>具体详见第三章项目需求</w:t>
      </w:r>
      <w:r>
        <w:rPr>
          <w:rFonts w:hint="eastAsia" w:ascii="宋体" w:hAnsi="宋体" w:cs="宋体"/>
          <w:sz w:val="24"/>
        </w:rPr>
        <w:t>说明</w:t>
      </w:r>
    </w:p>
    <w:p>
      <w:pPr>
        <w:spacing w:line="420" w:lineRule="exact"/>
        <w:ind w:firstLine="480" w:firstLineChars="200"/>
        <w:rPr>
          <w:rFonts w:ascii="宋体" w:hAnsi="宋体" w:cs="宋体"/>
          <w:sz w:val="24"/>
        </w:rPr>
      </w:pPr>
      <w:r>
        <w:rPr>
          <w:rFonts w:hint="eastAsia" w:ascii="宋体" w:hAnsi="宋体" w:cs="宋体"/>
          <w:sz w:val="24"/>
        </w:rPr>
        <w:t>五、投标人应具备的资格条件：</w:t>
      </w:r>
    </w:p>
    <w:p>
      <w:pPr>
        <w:spacing w:line="420" w:lineRule="exact"/>
        <w:ind w:firstLine="480" w:firstLineChars="200"/>
        <w:rPr>
          <w:rFonts w:ascii="宋体" w:hAnsi="宋体" w:cs="宋体"/>
          <w:sz w:val="24"/>
        </w:rPr>
      </w:pPr>
      <w:r>
        <w:rPr>
          <w:rFonts w:hint="eastAsia" w:ascii="宋体" w:hAnsi="宋体" w:cs="宋体"/>
          <w:sz w:val="24"/>
        </w:rPr>
        <w:t>(一)符合下列规定的条件，并提供下列材料：</w:t>
      </w:r>
    </w:p>
    <w:p>
      <w:pPr>
        <w:spacing w:line="420" w:lineRule="exact"/>
        <w:ind w:firstLine="480" w:firstLineChars="200"/>
        <w:rPr>
          <w:rFonts w:ascii="宋体" w:hAnsi="宋体" w:cs="宋体"/>
          <w:sz w:val="24"/>
        </w:rPr>
      </w:pPr>
      <w:r>
        <w:rPr>
          <w:rFonts w:hint="eastAsia" w:ascii="宋体" w:hAnsi="宋体" w:cs="宋体"/>
          <w:sz w:val="24"/>
        </w:rPr>
        <w:t>1、具有独立承担民事责任的能力；</w:t>
      </w:r>
    </w:p>
    <w:p>
      <w:pPr>
        <w:spacing w:line="420" w:lineRule="exact"/>
        <w:ind w:firstLine="480" w:firstLineChars="200"/>
        <w:rPr>
          <w:rFonts w:ascii="宋体" w:hAnsi="宋体" w:cs="宋体"/>
          <w:sz w:val="24"/>
        </w:rPr>
      </w:pPr>
      <w:r>
        <w:rPr>
          <w:rFonts w:hint="eastAsia" w:ascii="宋体" w:hAnsi="宋体" w:cs="宋体"/>
          <w:sz w:val="24"/>
        </w:rPr>
        <w:t>2、投标人必须是在中国境内注册并具备独立法人资格；</w:t>
      </w:r>
    </w:p>
    <w:p>
      <w:pPr>
        <w:spacing w:line="420" w:lineRule="exact"/>
        <w:ind w:firstLine="480" w:firstLineChars="200"/>
        <w:rPr>
          <w:rFonts w:ascii="宋体" w:hAnsi="宋体" w:cs="宋体"/>
          <w:sz w:val="24"/>
        </w:rPr>
      </w:pPr>
      <w:r>
        <w:rPr>
          <w:rFonts w:hint="eastAsia" w:ascii="宋体" w:hAnsi="宋体" w:cs="宋体"/>
          <w:sz w:val="24"/>
        </w:rPr>
        <w:t>3、具有良好的商业信誉和健全的财务会计制度；</w:t>
      </w:r>
    </w:p>
    <w:p>
      <w:pPr>
        <w:spacing w:line="420" w:lineRule="exact"/>
        <w:ind w:firstLine="480" w:firstLineChars="200"/>
        <w:rPr>
          <w:rFonts w:ascii="宋体" w:hAnsi="宋体" w:cs="宋体"/>
          <w:sz w:val="24"/>
        </w:rPr>
      </w:pPr>
      <w:r>
        <w:rPr>
          <w:rFonts w:hint="eastAsia" w:ascii="宋体" w:hAnsi="宋体" w:cs="宋体"/>
          <w:sz w:val="24"/>
        </w:rPr>
        <w:t>4、具有履行合同所必需的设备和专业技术能力；</w:t>
      </w:r>
    </w:p>
    <w:p>
      <w:pPr>
        <w:spacing w:line="420" w:lineRule="exact"/>
        <w:ind w:firstLine="480" w:firstLineChars="200"/>
        <w:rPr>
          <w:rFonts w:ascii="宋体" w:hAnsi="宋体" w:cs="宋体"/>
          <w:sz w:val="24"/>
        </w:rPr>
      </w:pPr>
      <w:r>
        <w:rPr>
          <w:rFonts w:hint="eastAsia" w:ascii="宋体" w:hAnsi="宋体" w:cs="宋体"/>
          <w:sz w:val="24"/>
        </w:rPr>
        <w:t>5、有依法缴纳税收和社会保障资金的良好记录；</w:t>
      </w:r>
    </w:p>
    <w:p>
      <w:pPr>
        <w:spacing w:line="420" w:lineRule="exact"/>
        <w:ind w:firstLine="480" w:firstLineChars="200"/>
        <w:rPr>
          <w:rFonts w:ascii="宋体" w:hAnsi="宋体" w:cs="宋体"/>
          <w:sz w:val="24"/>
        </w:rPr>
      </w:pPr>
      <w:r>
        <w:rPr>
          <w:rFonts w:hint="eastAsia" w:ascii="宋体" w:hAnsi="宋体" w:cs="宋体"/>
          <w:sz w:val="24"/>
        </w:rPr>
        <w:t>6、在经营活动中没有重大违法记录；</w:t>
      </w:r>
    </w:p>
    <w:p>
      <w:pPr>
        <w:spacing w:line="420" w:lineRule="exact"/>
        <w:ind w:firstLine="480" w:firstLineChars="200"/>
        <w:rPr>
          <w:rFonts w:ascii="宋体" w:hAnsi="宋体" w:cs="宋体"/>
          <w:sz w:val="24"/>
        </w:rPr>
      </w:pPr>
      <w:r>
        <w:rPr>
          <w:rFonts w:hint="eastAsia" w:ascii="宋体" w:hAnsi="宋体" w:cs="宋体"/>
          <w:sz w:val="24"/>
        </w:rPr>
        <w:t>(二)采购单位其他要求</w:t>
      </w:r>
    </w:p>
    <w:p>
      <w:pPr>
        <w:spacing w:line="420" w:lineRule="exact"/>
        <w:ind w:firstLine="480" w:firstLineChars="200"/>
        <w:rPr>
          <w:rFonts w:ascii="宋体" w:hAnsi="宋体" w:cs="宋体"/>
          <w:sz w:val="24"/>
        </w:rPr>
      </w:pPr>
      <w:r>
        <w:rPr>
          <w:rFonts w:hint="eastAsia" w:ascii="宋体" w:hAnsi="宋体" w:cs="宋体"/>
          <w:sz w:val="24"/>
        </w:rPr>
        <w:t>7、法定代表人为同一个人的两个及两个以上法人，母公司、全资子公司及其控股公司，都不得在同一采购项目相同包中同时投标，一经发现，将视同围标处理；</w:t>
      </w:r>
    </w:p>
    <w:p>
      <w:pPr>
        <w:spacing w:line="420" w:lineRule="exact"/>
        <w:ind w:firstLine="480" w:firstLineChars="200"/>
        <w:rPr>
          <w:rFonts w:ascii="宋体" w:hAnsi="宋体" w:cs="宋体"/>
          <w:sz w:val="24"/>
        </w:rPr>
      </w:pPr>
      <w:r>
        <w:rPr>
          <w:rFonts w:hint="eastAsia" w:ascii="宋体" w:hAnsi="宋体" w:cs="宋体"/>
          <w:sz w:val="24"/>
        </w:rPr>
        <w:t>8、本项目不接受任何形式的联合体投标，中标后不得分包或转包。</w:t>
      </w:r>
    </w:p>
    <w:p>
      <w:pPr>
        <w:spacing w:line="420" w:lineRule="exact"/>
        <w:ind w:firstLine="482" w:firstLineChars="200"/>
        <w:rPr>
          <w:rFonts w:ascii="宋体" w:hAnsi="宋体" w:cs="宋体"/>
          <w:b/>
          <w:sz w:val="24"/>
        </w:rPr>
      </w:pPr>
      <w:r>
        <w:rPr>
          <w:rFonts w:hint="eastAsia" w:ascii="宋体" w:hAnsi="宋体" w:cs="宋体"/>
          <w:b/>
          <w:sz w:val="24"/>
        </w:rPr>
        <w:t>请投标人认真对照资格要求，如不符合要求，无意或故意参与投标的，所产生的一切后果由投标人承担。对提供虚假材料的投标人作无效标处理，投标保证金不予退还，并报财政部门后将其列入政府采购黑名单，视情在南通市公共资源交易网公示。</w:t>
      </w:r>
    </w:p>
    <w:p>
      <w:pPr>
        <w:spacing w:line="420" w:lineRule="exact"/>
        <w:ind w:firstLine="480" w:firstLineChars="200"/>
        <w:rPr>
          <w:rFonts w:ascii="宋体" w:hAnsi="宋体" w:cs="宋体"/>
          <w:sz w:val="24"/>
        </w:rPr>
      </w:pPr>
      <w:r>
        <w:rPr>
          <w:rFonts w:hint="eastAsia" w:ascii="宋体" w:hAnsi="宋体" w:cs="宋体"/>
          <w:sz w:val="24"/>
        </w:rPr>
        <w:t>六、招标文件的获取</w:t>
      </w:r>
    </w:p>
    <w:p>
      <w:pPr>
        <w:widowControl/>
        <w:spacing w:line="420" w:lineRule="exact"/>
        <w:ind w:firstLine="480" w:firstLineChars="200"/>
        <w:jc w:val="left"/>
        <w:textAlignment w:val="baseline"/>
        <w:rPr>
          <w:rFonts w:ascii="宋体" w:hAnsi="宋体" w:cs="宋体"/>
          <w:kern w:val="0"/>
          <w:sz w:val="24"/>
        </w:rPr>
      </w:pPr>
      <w:r>
        <w:rPr>
          <w:rFonts w:hint="eastAsia" w:ascii="宋体" w:hAnsi="宋体" w:cs="宋体"/>
          <w:sz w:val="24"/>
        </w:rPr>
        <w:t>1、</w:t>
      </w:r>
      <w:r>
        <w:rPr>
          <w:rFonts w:hint="eastAsia" w:ascii="宋体" w:hAnsi="宋体" w:cs="宋体"/>
          <w:kern w:val="0"/>
          <w:sz w:val="24"/>
        </w:rPr>
        <w:t>获取时间：自本招标公告发布之日起。</w:t>
      </w:r>
    </w:p>
    <w:p>
      <w:pPr>
        <w:widowControl/>
        <w:spacing w:line="420" w:lineRule="exact"/>
        <w:ind w:firstLine="480" w:firstLineChars="200"/>
        <w:jc w:val="left"/>
        <w:rPr>
          <w:rFonts w:ascii="宋体" w:hAnsi="宋体" w:cs="宋体"/>
          <w:kern w:val="0"/>
          <w:sz w:val="24"/>
        </w:rPr>
      </w:pPr>
      <w:bookmarkStart w:id="4" w:name="_Toc387526369"/>
      <w:bookmarkStart w:id="5" w:name="_Toc387526277"/>
      <w:bookmarkStart w:id="6" w:name="_Toc387526173"/>
      <w:r>
        <w:rPr>
          <w:rFonts w:hint="eastAsia" w:ascii="宋体" w:hAnsi="宋体" w:cs="宋体"/>
          <w:sz w:val="24"/>
        </w:rPr>
        <w:t>2、</w:t>
      </w:r>
      <w:r>
        <w:rPr>
          <w:rFonts w:hint="eastAsia" w:ascii="宋体" w:hAnsi="宋体" w:cs="宋体"/>
          <w:kern w:val="0"/>
          <w:sz w:val="24"/>
        </w:rPr>
        <w:t>获取方式：本项目</w:t>
      </w:r>
      <w:r>
        <w:rPr>
          <w:rFonts w:hint="eastAsia" w:ascii="宋体" w:hAnsi="宋体" w:cs="宋体"/>
          <w:sz w:val="24"/>
        </w:rPr>
        <w:t>资格审查采用资格后审方式，无报名环节，投标人直接从南通市中央创新区建设投资有限公司网站（http://www.ntscid.cn/）自行下</w:t>
      </w:r>
      <w:r>
        <w:rPr>
          <w:rFonts w:hint="eastAsia" w:ascii="宋体" w:hAnsi="宋体" w:cs="宋体"/>
          <w:kern w:val="0"/>
          <w:sz w:val="24"/>
        </w:rPr>
        <w:t>载招标文件、澄清答疑等招标资料。</w:t>
      </w:r>
      <w:bookmarkEnd w:id="4"/>
      <w:bookmarkEnd w:id="5"/>
      <w:bookmarkEnd w:id="6"/>
    </w:p>
    <w:p>
      <w:pPr>
        <w:spacing w:line="420" w:lineRule="exact"/>
        <w:ind w:firstLine="480" w:firstLineChars="200"/>
        <w:rPr>
          <w:sz w:val="24"/>
        </w:rPr>
      </w:pPr>
      <w:bookmarkStart w:id="7" w:name="_Toc30068"/>
      <w:bookmarkStart w:id="8" w:name="_Toc387526370"/>
      <w:bookmarkStart w:id="9" w:name="_Toc401557586"/>
      <w:bookmarkStart w:id="10" w:name="_Toc387526174"/>
      <w:bookmarkStart w:id="11" w:name="_Toc387526278"/>
      <w:r>
        <w:rPr>
          <w:rFonts w:hint="eastAsia" w:hAnsi="宋体"/>
          <w:sz w:val="24"/>
        </w:rPr>
        <w:t>七</w:t>
      </w:r>
      <w:r>
        <w:rPr>
          <w:rFonts w:hAnsi="宋体"/>
          <w:sz w:val="24"/>
        </w:rPr>
        <w:t>、投标文件的递交</w:t>
      </w:r>
      <w:bookmarkEnd w:id="7"/>
      <w:bookmarkEnd w:id="8"/>
      <w:bookmarkEnd w:id="9"/>
      <w:bookmarkEnd w:id="10"/>
      <w:bookmarkEnd w:id="11"/>
    </w:p>
    <w:p>
      <w:pPr>
        <w:widowControl/>
        <w:spacing w:line="420" w:lineRule="exact"/>
        <w:ind w:firstLine="480" w:firstLineChars="200"/>
        <w:jc w:val="left"/>
        <w:rPr>
          <w:kern w:val="0"/>
          <w:sz w:val="24"/>
          <w:u w:val="single"/>
        </w:rPr>
      </w:pPr>
      <w:r>
        <w:rPr>
          <w:kern w:val="0"/>
          <w:sz w:val="24"/>
        </w:rPr>
        <w:t>1</w:t>
      </w:r>
      <w:r>
        <w:rPr>
          <w:rFonts w:hAnsi="宋体"/>
          <w:kern w:val="0"/>
          <w:sz w:val="24"/>
        </w:rPr>
        <w:t>、递交投标文件截止时间及开标时间为</w:t>
      </w:r>
      <w:r>
        <w:rPr>
          <w:b/>
          <w:kern w:val="0"/>
          <w:sz w:val="24"/>
          <w:u w:val="single"/>
        </w:rPr>
        <w:t>20</w:t>
      </w:r>
      <w:r>
        <w:rPr>
          <w:rFonts w:hint="eastAsia"/>
          <w:b/>
          <w:kern w:val="0"/>
          <w:sz w:val="24"/>
          <w:u w:val="single"/>
        </w:rPr>
        <w:t>23</w:t>
      </w:r>
      <w:r>
        <w:rPr>
          <w:rFonts w:hAnsi="宋体"/>
          <w:b/>
          <w:kern w:val="0"/>
          <w:sz w:val="24"/>
          <w:u w:val="single"/>
        </w:rPr>
        <w:t>年</w:t>
      </w:r>
      <w:r>
        <w:rPr>
          <w:rFonts w:hint="eastAsia"/>
          <w:b/>
          <w:kern w:val="0"/>
          <w:sz w:val="24"/>
          <w:u w:val="single"/>
        </w:rPr>
        <w:t>12月</w:t>
      </w:r>
      <w:r>
        <w:rPr>
          <w:rFonts w:hint="eastAsia"/>
          <w:b/>
          <w:kern w:val="0"/>
          <w:sz w:val="24"/>
          <w:u w:val="single"/>
          <w:lang w:val="en-US" w:eastAsia="zh-CN"/>
        </w:rPr>
        <w:t>7</w:t>
      </w:r>
      <w:r>
        <w:rPr>
          <w:rFonts w:hint="eastAsia"/>
          <w:b/>
          <w:kern w:val="0"/>
          <w:sz w:val="24"/>
          <w:u w:val="single"/>
        </w:rPr>
        <w:t>日9时30分</w:t>
      </w:r>
      <w:r>
        <w:rPr>
          <w:rFonts w:hAnsi="宋体"/>
          <w:kern w:val="0"/>
          <w:sz w:val="24"/>
        </w:rPr>
        <w:t>，地点为</w:t>
      </w:r>
      <w:r>
        <w:rPr>
          <w:b/>
          <w:kern w:val="0"/>
          <w:sz w:val="24"/>
          <w:u w:val="single"/>
        </w:rPr>
        <w:t>南通市崇州大道60号紫琅科技城6号楼8</w:t>
      </w:r>
      <w:r>
        <w:rPr>
          <w:rFonts w:hint="eastAsia"/>
          <w:b/>
          <w:kern w:val="0"/>
          <w:sz w:val="24"/>
          <w:u w:val="single"/>
        </w:rPr>
        <w:t>1</w:t>
      </w:r>
      <w:r>
        <w:rPr>
          <w:b/>
          <w:kern w:val="0"/>
          <w:sz w:val="24"/>
          <w:u w:val="single"/>
        </w:rPr>
        <w:t>1室</w:t>
      </w:r>
      <w:r>
        <w:rPr>
          <w:b/>
          <w:sz w:val="24"/>
          <w:u w:val="single"/>
        </w:rPr>
        <w:t>。</w:t>
      </w:r>
    </w:p>
    <w:p>
      <w:pPr>
        <w:widowControl/>
        <w:spacing w:line="420" w:lineRule="exact"/>
        <w:ind w:firstLine="480" w:firstLineChars="200"/>
        <w:jc w:val="left"/>
        <w:rPr>
          <w:rFonts w:ascii="宋体" w:hAnsi="宋体" w:cs="宋体"/>
          <w:kern w:val="0"/>
          <w:sz w:val="24"/>
        </w:rPr>
      </w:pPr>
      <w:r>
        <w:rPr>
          <w:rFonts w:hint="eastAsia" w:ascii="宋体" w:hAnsi="宋体" w:cs="宋体"/>
          <w:kern w:val="0"/>
          <w:sz w:val="24"/>
        </w:rPr>
        <w:t>2、逾期送达或者未送达指定地点的投标文件，采购人不予受理。</w:t>
      </w:r>
    </w:p>
    <w:p>
      <w:pPr>
        <w:snapToGrid w:val="0"/>
        <w:spacing w:line="420" w:lineRule="exact"/>
        <w:ind w:firstLine="494" w:firstLineChars="206"/>
        <w:outlineLvl w:val="1"/>
        <w:rPr>
          <w:rFonts w:ascii="宋体" w:hAnsi="宋体" w:cs="宋体"/>
          <w:sz w:val="24"/>
        </w:rPr>
      </w:pPr>
      <w:r>
        <w:rPr>
          <w:rFonts w:hint="eastAsia" w:ascii="宋体" w:hAnsi="宋体" w:cs="宋体"/>
          <w:kern w:val="0"/>
          <w:sz w:val="24"/>
        </w:rPr>
        <w:t>八、</w:t>
      </w:r>
      <w:r>
        <w:rPr>
          <w:rFonts w:hint="eastAsia" w:ascii="宋体" w:hAnsi="宋体" w:cs="宋体"/>
          <w:sz w:val="24"/>
        </w:rPr>
        <w:t>投标保证金</w:t>
      </w:r>
    </w:p>
    <w:p>
      <w:pPr>
        <w:spacing w:line="420" w:lineRule="exact"/>
        <w:ind w:firstLine="480" w:firstLineChars="200"/>
        <w:rPr>
          <w:rFonts w:ascii="宋体" w:hAnsi="宋体"/>
          <w:b/>
          <w:color w:val="FF0000"/>
          <w:sz w:val="24"/>
          <w:u w:val="single"/>
        </w:rPr>
      </w:pPr>
      <w:r>
        <w:rPr>
          <w:rFonts w:hint="eastAsia" w:ascii="宋体" w:hAnsi="宋体" w:cs="宋体"/>
          <w:sz w:val="24"/>
        </w:rPr>
        <w:t>1、投标保证金金额(人民币)：</w:t>
      </w:r>
      <w:r>
        <w:rPr>
          <w:rFonts w:hint="eastAsia" w:ascii="宋体" w:hAnsi="宋体" w:cs="宋体"/>
          <w:b/>
          <w:sz w:val="24"/>
          <w:u w:val="single"/>
        </w:rPr>
        <w:t xml:space="preserve"> 捌仟元整。</w:t>
      </w:r>
    </w:p>
    <w:p>
      <w:pPr>
        <w:spacing w:line="420" w:lineRule="exact"/>
        <w:ind w:firstLine="480" w:firstLineChars="200"/>
        <w:rPr>
          <w:rFonts w:ascii="宋体" w:hAnsi="宋体" w:cs="宋体"/>
          <w:sz w:val="24"/>
        </w:rPr>
      </w:pPr>
      <w:r>
        <w:rPr>
          <w:rFonts w:hint="eastAsia" w:ascii="宋体" w:hAnsi="宋体" w:cs="宋体"/>
          <w:sz w:val="24"/>
        </w:rPr>
        <w:t>2、投标保证金递交方式：</w:t>
      </w:r>
      <w:r>
        <w:rPr>
          <w:rFonts w:hint="eastAsia" w:hAnsi="宋体"/>
          <w:b/>
          <w:bCs/>
          <w:sz w:val="24"/>
          <w:u w:val="single"/>
        </w:rPr>
        <w:t>现金（密封）</w:t>
      </w:r>
      <w:r>
        <w:rPr>
          <w:rFonts w:hint="eastAsia" w:ascii="宋体" w:hAnsi="宋体" w:cs="宋体"/>
          <w:sz w:val="24"/>
        </w:rPr>
        <w:t>。</w:t>
      </w:r>
    </w:p>
    <w:p>
      <w:pPr>
        <w:spacing w:line="420" w:lineRule="exact"/>
        <w:ind w:firstLine="480" w:firstLineChars="200"/>
        <w:rPr>
          <w:rFonts w:ascii="宋体" w:hAnsi="宋体" w:cs="宋体"/>
          <w:sz w:val="24"/>
        </w:rPr>
      </w:pPr>
      <w:r>
        <w:rPr>
          <w:rFonts w:hint="eastAsia" w:ascii="宋体" w:hAnsi="宋体" w:cs="宋体"/>
          <w:sz w:val="24"/>
        </w:rPr>
        <w:t>九、评标办法</w:t>
      </w:r>
    </w:p>
    <w:p>
      <w:pPr>
        <w:widowControl/>
        <w:snapToGrid w:val="0"/>
        <w:spacing w:line="420" w:lineRule="exact"/>
        <w:ind w:firstLine="480" w:firstLineChars="200"/>
        <w:jc w:val="left"/>
        <w:rPr>
          <w:rFonts w:ascii="宋体" w:hAnsi="宋体" w:cs="宋体"/>
          <w:kern w:val="0"/>
          <w:sz w:val="24"/>
        </w:rPr>
      </w:pPr>
      <w:r>
        <w:rPr>
          <w:rFonts w:hint="eastAsia" w:ascii="宋体" w:hAnsi="宋体" w:cs="宋体"/>
          <w:sz w:val="24"/>
        </w:rPr>
        <w:t>本项目采用综合评分法，具体详见招标文件。</w:t>
      </w:r>
    </w:p>
    <w:p>
      <w:pPr>
        <w:spacing w:line="420" w:lineRule="exact"/>
        <w:ind w:firstLine="480" w:firstLineChars="200"/>
        <w:rPr>
          <w:rFonts w:ascii="宋体" w:hAnsi="宋体" w:cs="宋体"/>
          <w:sz w:val="24"/>
        </w:rPr>
      </w:pPr>
      <w:bookmarkStart w:id="12" w:name="_Toc397928545"/>
      <w:bookmarkStart w:id="13" w:name="_Toc387526279"/>
      <w:bookmarkStart w:id="14" w:name="_Toc387526175"/>
      <w:bookmarkStart w:id="15" w:name="_Toc13051"/>
      <w:bookmarkStart w:id="16" w:name="_Toc387526371"/>
      <w:r>
        <w:rPr>
          <w:rFonts w:hint="eastAsia" w:ascii="宋体" w:hAnsi="宋体" w:cs="宋体"/>
          <w:sz w:val="24"/>
        </w:rPr>
        <w:t>十、发布公告的媒介</w:t>
      </w:r>
      <w:bookmarkEnd w:id="12"/>
      <w:bookmarkEnd w:id="13"/>
      <w:bookmarkEnd w:id="14"/>
      <w:bookmarkEnd w:id="15"/>
      <w:bookmarkEnd w:id="16"/>
    </w:p>
    <w:p>
      <w:pPr>
        <w:widowControl/>
        <w:spacing w:line="420" w:lineRule="exact"/>
        <w:ind w:firstLine="480" w:firstLineChars="200"/>
        <w:rPr>
          <w:rFonts w:ascii="宋体" w:hAnsi="宋体" w:cs="宋体"/>
          <w:kern w:val="0"/>
          <w:sz w:val="24"/>
        </w:rPr>
      </w:pPr>
      <w:r>
        <w:rPr>
          <w:rFonts w:hint="eastAsia" w:ascii="宋体" w:hAnsi="宋体" w:cs="宋体"/>
          <w:kern w:val="0"/>
          <w:sz w:val="24"/>
        </w:rPr>
        <w:t>本次招标公告在</w:t>
      </w:r>
      <w:r>
        <w:rPr>
          <w:rFonts w:hint="eastAsia" w:ascii="宋体" w:hAnsi="宋体" w:cs="宋体"/>
          <w:sz w:val="24"/>
        </w:rPr>
        <w:t>南通市中央创新区建设投资有限公司网站（http://www.ntscid.cn/）</w:t>
      </w:r>
      <w:r>
        <w:rPr>
          <w:rFonts w:hint="eastAsia" w:ascii="宋体" w:hAnsi="宋体" w:cs="宋体"/>
          <w:kern w:val="0"/>
          <w:sz w:val="24"/>
        </w:rPr>
        <w:t>发布。</w:t>
      </w:r>
    </w:p>
    <w:p>
      <w:pPr>
        <w:widowControl/>
        <w:spacing w:line="420" w:lineRule="exact"/>
        <w:ind w:firstLine="480" w:firstLineChars="200"/>
        <w:rPr>
          <w:rFonts w:ascii="宋体" w:hAnsi="宋体" w:cs="宋体"/>
          <w:kern w:val="0"/>
          <w:sz w:val="24"/>
        </w:rPr>
      </w:pPr>
      <w:bookmarkStart w:id="17" w:name="_Toc387526280"/>
      <w:bookmarkStart w:id="18" w:name="_Toc387526176"/>
      <w:bookmarkStart w:id="19" w:name="_Toc11155"/>
      <w:bookmarkStart w:id="20" w:name="_Toc387526372"/>
      <w:bookmarkStart w:id="21" w:name="_Toc397928546"/>
      <w:r>
        <w:rPr>
          <w:rFonts w:hint="eastAsia" w:ascii="宋体" w:hAnsi="宋体" w:cs="宋体"/>
          <w:kern w:val="0"/>
          <w:sz w:val="24"/>
        </w:rPr>
        <w:t>十一、联系方式</w:t>
      </w:r>
      <w:bookmarkEnd w:id="17"/>
      <w:bookmarkEnd w:id="18"/>
      <w:bookmarkEnd w:id="19"/>
      <w:bookmarkEnd w:id="20"/>
      <w:bookmarkEnd w:id="21"/>
    </w:p>
    <w:p>
      <w:pPr>
        <w:widowControl/>
        <w:spacing w:line="420" w:lineRule="exact"/>
        <w:ind w:firstLine="480" w:firstLineChars="200"/>
        <w:rPr>
          <w:rFonts w:ascii="宋体" w:hAnsi="宋体" w:cs="宋体"/>
          <w:kern w:val="0"/>
          <w:sz w:val="24"/>
        </w:rPr>
      </w:pPr>
      <w:r>
        <w:rPr>
          <w:rFonts w:hint="eastAsia" w:ascii="宋体" w:hAnsi="宋体" w:cs="宋体"/>
          <w:kern w:val="0"/>
          <w:sz w:val="24"/>
        </w:rPr>
        <w:t>采购人：南通市中央创新区建设投资有限公司</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联系人：张先生</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联系电话：17312352846</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招标代理机构：江苏中房工程咨询有限公司</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 xml:space="preserve">地        址：南通市崇川区江海大道817号江海财富大厦A座7楼 </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联   系   人：吴江</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电        话：0513-68002662</w:t>
      </w:r>
    </w:p>
    <w:p>
      <w:pPr>
        <w:widowControl/>
        <w:spacing w:line="420" w:lineRule="exact"/>
        <w:ind w:firstLine="480" w:firstLineChars="200"/>
        <w:rPr>
          <w:rFonts w:ascii="宋体" w:hAnsi="宋体" w:cs="宋体"/>
          <w:kern w:val="0"/>
          <w:sz w:val="24"/>
        </w:rPr>
      </w:pPr>
      <w:r>
        <w:rPr>
          <w:rFonts w:hint="eastAsia" w:ascii="宋体" w:hAnsi="宋体" w:cs="宋体"/>
          <w:kern w:val="0"/>
          <w:sz w:val="24"/>
        </w:rPr>
        <w:t>电 子 邮 箱：</w:t>
      </w:r>
      <w:r>
        <w:fldChar w:fldCharType="begin"/>
      </w:r>
      <w:r>
        <w:instrText xml:space="preserve"> HYPERLINK "mailto:874786206@qq.com" </w:instrText>
      </w:r>
      <w:r>
        <w:fldChar w:fldCharType="separate"/>
      </w:r>
      <w:r>
        <w:rPr>
          <w:rStyle w:val="23"/>
          <w:rFonts w:hint="eastAsia" w:ascii="宋体" w:hAnsi="宋体" w:cs="宋体"/>
          <w:color w:val="auto"/>
          <w:kern w:val="0"/>
          <w:sz w:val="24"/>
          <w:u w:val="none"/>
        </w:rPr>
        <w:t>458101863@qq.com</w:t>
      </w:r>
      <w:r>
        <w:rPr>
          <w:rStyle w:val="23"/>
          <w:rFonts w:hint="eastAsia" w:ascii="宋体" w:hAnsi="宋体" w:cs="宋体"/>
          <w:color w:val="auto"/>
          <w:kern w:val="0"/>
          <w:sz w:val="24"/>
          <w:u w:val="none"/>
        </w:rPr>
        <w:fldChar w:fldCharType="end"/>
      </w:r>
    </w:p>
    <w:p>
      <w:pPr>
        <w:snapToGrid w:val="0"/>
        <w:spacing w:line="420" w:lineRule="exact"/>
        <w:jc w:val="center"/>
        <w:rPr>
          <w:rFonts w:ascii="仿宋_GB2312" w:hAnsi="宋体" w:eastAsia="仿宋_GB2312"/>
          <w:bCs/>
          <w:sz w:val="28"/>
          <w:szCs w:val="28"/>
        </w:rPr>
      </w:pPr>
      <w:r>
        <w:rPr>
          <w:rFonts w:ascii="宋体" w:hAnsi="宋体"/>
          <w:sz w:val="24"/>
        </w:rPr>
        <w:br w:type="page"/>
      </w:r>
      <w:r>
        <w:rPr>
          <w:rFonts w:hint="eastAsia" w:ascii="仿宋_GB2312" w:eastAsia="仿宋_GB2312"/>
          <w:b/>
          <w:sz w:val="36"/>
          <w:szCs w:val="36"/>
        </w:rPr>
        <w:t>第二部分  投标须知</w:t>
      </w:r>
    </w:p>
    <w:p>
      <w:pPr>
        <w:snapToGrid w:val="0"/>
        <w:spacing w:line="420" w:lineRule="exact"/>
        <w:ind w:firstLine="482" w:firstLineChars="200"/>
        <w:jc w:val="left"/>
        <w:outlineLvl w:val="0"/>
        <w:rPr>
          <w:rFonts w:hAnsi="宋体"/>
          <w:b/>
          <w:sz w:val="24"/>
        </w:rPr>
      </w:pPr>
    </w:p>
    <w:p>
      <w:pPr>
        <w:snapToGrid w:val="0"/>
        <w:spacing w:line="420" w:lineRule="exact"/>
        <w:ind w:firstLine="482" w:firstLineChars="200"/>
        <w:jc w:val="left"/>
        <w:outlineLvl w:val="0"/>
        <w:rPr>
          <w:sz w:val="24"/>
        </w:rPr>
      </w:pPr>
      <w:r>
        <w:rPr>
          <w:rFonts w:hAnsi="宋体"/>
          <w:b/>
          <w:sz w:val="24"/>
        </w:rPr>
        <w:t>一、招标文件由采购人解释</w:t>
      </w:r>
      <w:r>
        <w:rPr>
          <w:rFonts w:hAnsi="宋体"/>
          <w:sz w:val="24"/>
        </w:rPr>
        <w:t>。</w:t>
      </w:r>
    </w:p>
    <w:p>
      <w:pPr>
        <w:snapToGrid w:val="0"/>
        <w:spacing w:line="420" w:lineRule="exact"/>
        <w:ind w:firstLine="480" w:firstLineChars="200"/>
        <w:jc w:val="left"/>
        <w:rPr>
          <w:b/>
          <w:sz w:val="24"/>
        </w:rPr>
      </w:pPr>
      <w:r>
        <w:rPr>
          <w:sz w:val="24"/>
        </w:rPr>
        <w:t>1</w:t>
      </w:r>
      <w:r>
        <w:rPr>
          <w:rFonts w:hAnsi="宋体"/>
          <w:sz w:val="24"/>
        </w:rPr>
        <w:t>、</w:t>
      </w:r>
      <w:r>
        <w:rPr>
          <w:rFonts w:hint="eastAsia" w:hAnsi="宋体"/>
          <w:sz w:val="24"/>
        </w:rPr>
        <w:t>投标人下载获取</w:t>
      </w:r>
      <w:r>
        <w:rPr>
          <w:rFonts w:hAnsi="宋体"/>
          <w:sz w:val="24"/>
        </w:rPr>
        <w:t>招标文件后，应仔细检查招标文件的所有内容，如有内容或页码残缺、资格要求和技术参数含有倾向性或排他性等表述的，</w:t>
      </w:r>
      <w:r>
        <w:rPr>
          <w:rFonts w:hAnsi="宋体"/>
          <w:b/>
          <w:sz w:val="24"/>
        </w:rPr>
        <w:t>应在招标文件</w:t>
      </w:r>
      <w:r>
        <w:rPr>
          <w:rFonts w:hint="eastAsia" w:hAnsi="宋体"/>
          <w:b/>
          <w:sz w:val="24"/>
        </w:rPr>
        <w:t>发布</w:t>
      </w:r>
      <w:r>
        <w:rPr>
          <w:rFonts w:hAnsi="宋体"/>
          <w:b/>
          <w:sz w:val="24"/>
        </w:rPr>
        <w:t>开始之日起</w:t>
      </w:r>
      <w:r>
        <w:rPr>
          <w:rFonts w:hint="eastAsia"/>
          <w:sz w:val="24"/>
        </w:rPr>
        <w:t>3</w:t>
      </w:r>
      <w:r>
        <w:rPr>
          <w:rFonts w:hAnsi="宋体"/>
          <w:sz w:val="24"/>
        </w:rPr>
        <w:t>日内以书面形式提出询问或疑问。未在规定的</w:t>
      </w:r>
      <w:r>
        <w:rPr>
          <w:rFonts w:hint="eastAsia"/>
          <w:sz w:val="24"/>
        </w:rPr>
        <w:t>3</w:t>
      </w:r>
      <w:r>
        <w:rPr>
          <w:rFonts w:hAnsi="宋体"/>
          <w:sz w:val="24"/>
        </w:rPr>
        <w:t>日内提出询问或疑问的，视同</w:t>
      </w:r>
      <w:r>
        <w:rPr>
          <w:rFonts w:hint="eastAsia" w:hAnsi="宋体"/>
          <w:sz w:val="24"/>
        </w:rPr>
        <w:t>投标人</w:t>
      </w:r>
      <w:r>
        <w:rPr>
          <w:rFonts w:hAnsi="宋体"/>
          <w:sz w:val="24"/>
        </w:rPr>
        <w:t>理解并接受本招标文件所有内容，并由此引起的投标损失自负。</w:t>
      </w:r>
      <w:r>
        <w:rPr>
          <w:rFonts w:hint="eastAsia" w:hAnsi="宋体"/>
          <w:sz w:val="24"/>
        </w:rPr>
        <w:t>投标人</w:t>
      </w:r>
      <w:r>
        <w:rPr>
          <w:rFonts w:hAnsi="宋体"/>
          <w:sz w:val="24"/>
        </w:rPr>
        <w:t>不得在招标结束后针对招标文件所有内容提出质疑事项。</w:t>
      </w:r>
      <w:r>
        <w:rPr>
          <w:rFonts w:hAnsi="宋体"/>
          <w:b/>
          <w:sz w:val="24"/>
        </w:rPr>
        <w:t>非书面形式的不作为日后质疑提出的依据。</w:t>
      </w:r>
    </w:p>
    <w:p>
      <w:pPr>
        <w:snapToGrid w:val="0"/>
        <w:spacing w:line="420" w:lineRule="exact"/>
        <w:ind w:firstLine="480" w:firstLineChars="200"/>
        <w:jc w:val="left"/>
        <w:rPr>
          <w:sz w:val="24"/>
        </w:rPr>
      </w:pPr>
      <w:r>
        <w:rPr>
          <w:sz w:val="24"/>
        </w:rPr>
        <w:t>2</w:t>
      </w:r>
      <w:r>
        <w:rPr>
          <w:rFonts w:hAnsi="宋体"/>
          <w:sz w:val="24"/>
        </w:rPr>
        <w:t>、投标人应认真审阅招标文件中所有的事项、格式、条款和规范要求等，如果投标人没有按照招标文件要求提交投标文件，或者投标文件没有对招标文件做出实质性响应，其投标将被拒绝，投标人自行承担责任。</w:t>
      </w:r>
    </w:p>
    <w:p>
      <w:pPr>
        <w:snapToGrid w:val="0"/>
        <w:spacing w:line="420" w:lineRule="exact"/>
        <w:ind w:firstLine="482" w:firstLineChars="200"/>
        <w:jc w:val="left"/>
        <w:rPr>
          <w:b/>
          <w:sz w:val="24"/>
        </w:rPr>
      </w:pPr>
      <w:r>
        <w:rPr>
          <w:rFonts w:hAnsi="宋体"/>
          <w:b/>
          <w:sz w:val="24"/>
        </w:rPr>
        <w:t>二、招标文件的澄清、修改、答疑</w:t>
      </w:r>
    </w:p>
    <w:p>
      <w:pPr>
        <w:pStyle w:val="3"/>
        <w:snapToGrid w:val="0"/>
        <w:spacing w:after="0" w:line="420" w:lineRule="exact"/>
        <w:ind w:left="0" w:leftChars="0" w:firstLine="480" w:firstLineChars="200"/>
        <w:jc w:val="left"/>
        <w:rPr>
          <w:sz w:val="24"/>
        </w:rPr>
      </w:pPr>
      <w:r>
        <w:rPr>
          <w:sz w:val="24"/>
        </w:rPr>
        <w:t>1</w:t>
      </w:r>
      <w:r>
        <w:rPr>
          <w:rFonts w:hAnsi="宋体"/>
          <w:sz w:val="24"/>
        </w:rPr>
        <w:t>、采购人有权对发出的招标文件进行必要的澄清或修改。</w:t>
      </w:r>
    </w:p>
    <w:p>
      <w:pPr>
        <w:pStyle w:val="3"/>
        <w:snapToGrid w:val="0"/>
        <w:spacing w:after="0" w:line="420" w:lineRule="exact"/>
        <w:ind w:left="0" w:leftChars="0" w:firstLine="480" w:firstLineChars="200"/>
        <w:jc w:val="left"/>
        <w:rPr>
          <w:sz w:val="24"/>
        </w:rPr>
      </w:pPr>
      <w:r>
        <w:rPr>
          <w:sz w:val="24"/>
        </w:rPr>
        <w:t>2</w:t>
      </w:r>
      <w:r>
        <w:rPr>
          <w:rFonts w:hAnsi="宋体"/>
          <w:sz w:val="24"/>
        </w:rPr>
        <w:t>、采购人可视情取消、延长相关时间，不负责解释。</w:t>
      </w:r>
    </w:p>
    <w:p>
      <w:pPr>
        <w:pStyle w:val="3"/>
        <w:snapToGrid w:val="0"/>
        <w:spacing w:after="0" w:line="420" w:lineRule="exact"/>
        <w:ind w:left="0" w:leftChars="0" w:firstLine="480" w:firstLineChars="200"/>
        <w:jc w:val="left"/>
        <w:rPr>
          <w:sz w:val="24"/>
        </w:rPr>
      </w:pPr>
      <w:r>
        <w:rPr>
          <w:sz w:val="24"/>
        </w:rPr>
        <w:t>3</w:t>
      </w:r>
      <w:r>
        <w:rPr>
          <w:rFonts w:hAnsi="宋体"/>
          <w:sz w:val="24"/>
        </w:rPr>
        <w:t>、采购人对招标文件的澄清、修改将构成招标文件的一部分，对投标人具有约束力。</w:t>
      </w:r>
    </w:p>
    <w:p>
      <w:pPr>
        <w:pStyle w:val="3"/>
        <w:snapToGrid w:val="0"/>
        <w:spacing w:after="0" w:line="420" w:lineRule="exact"/>
        <w:ind w:left="0" w:leftChars="0" w:firstLine="480" w:firstLineChars="200"/>
        <w:jc w:val="left"/>
        <w:rPr>
          <w:sz w:val="24"/>
        </w:rPr>
      </w:pPr>
      <w:r>
        <w:rPr>
          <w:sz w:val="24"/>
        </w:rPr>
        <w:t>4</w:t>
      </w:r>
      <w:r>
        <w:rPr>
          <w:rFonts w:hAnsi="宋体"/>
          <w:sz w:val="24"/>
        </w:rPr>
        <w:t>、投标人由于对招标文件的任何推论和误解以及采购人对有关问题的口头解释所造成的后果，均由投标人自负。</w:t>
      </w:r>
    </w:p>
    <w:p>
      <w:pPr>
        <w:pStyle w:val="3"/>
        <w:snapToGrid w:val="0"/>
        <w:spacing w:after="0" w:line="420" w:lineRule="exact"/>
        <w:ind w:left="0" w:leftChars="0" w:firstLine="480" w:firstLineChars="200"/>
        <w:contextualSpacing/>
        <w:jc w:val="left"/>
        <w:rPr>
          <w:sz w:val="24"/>
        </w:rPr>
      </w:pPr>
      <w:r>
        <w:rPr>
          <w:sz w:val="24"/>
        </w:rPr>
        <w:t>5</w:t>
      </w:r>
      <w:r>
        <w:rPr>
          <w:rFonts w:hAnsi="宋体"/>
          <w:sz w:val="24"/>
        </w:rPr>
        <w:t>、采购人或采购单位视情组织答疑会。</w:t>
      </w:r>
    </w:p>
    <w:p>
      <w:pPr>
        <w:snapToGrid w:val="0"/>
        <w:spacing w:line="420" w:lineRule="exact"/>
        <w:ind w:firstLine="482" w:firstLineChars="200"/>
        <w:jc w:val="left"/>
        <w:rPr>
          <w:b/>
          <w:sz w:val="24"/>
        </w:rPr>
      </w:pPr>
      <w:r>
        <w:rPr>
          <w:rFonts w:hAnsi="宋体"/>
          <w:b/>
          <w:sz w:val="24"/>
        </w:rPr>
        <w:t>三、投标报价</w:t>
      </w:r>
    </w:p>
    <w:p>
      <w:pPr>
        <w:pStyle w:val="3"/>
        <w:snapToGrid w:val="0"/>
        <w:spacing w:after="0" w:line="420" w:lineRule="exact"/>
        <w:ind w:left="0" w:leftChars="0" w:firstLine="480" w:firstLineChars="200"/>
        <w:jc w:val="left"/>
        <w:rPr>
          <w:rFonts w:hAnsi="宋体"/>
          <w:sz w:val="24"/>
        </w:rPr>
      </w:pPr>
      <w:r>
        <w:rPr>
          <w:rFonts w:hAnsi="宋体"/>
          <w:sz w:val="24"/>
        </w:rPr>
        <w:t>一个</w:t>
      </w:r>
      <w:r>
        <w:rPr>
          <w:rFonts w:hint="eastAsia" w:hAnsi="宋体"/>
          <w:sz w:val="24"/>
        </w:rPr>
        <w:t>包</w:t>
      </w:r>
      <w:r>
        <w:rPr>
          <w:rFonts w:hAnsi="宋体"/>
          <w:sz w:val="24"/>
        </w:rPr>
        <w:t>只允许一个报价，不接受任何有选择性的报价。</w:t>
      </w:r>
    </w:p>
    <w:p>
      <w:pPr>
        <w:pStyle w:val="7"/>
        <w:widowControl/>
        <w:tabs>
          <w:tab w:val="left" w:pos="540"/>
        </w:tabs>
        <w:snapToGrid w:val="0"/>
        <w:spacing w:line="420" w:lineRule="exact"/>
        <w:ind w:left="540" w:firstLine="0"/>
        <w:contextualSpacing/>
        <w:jc w:val="left"/>
      </w:pPr>
      <w:r>
        <w:rPr>
          <w:rFonts w:hAnsi="宋体"/>
          <w:b/>
        </w:rPr>
        <w:t>四、投标文件的编写、份数和签署</w:t>
      </w:r>
    </w:p>
    <w:p>
      <w:pPr>
        <w:snapToGrid w:val="0"/>
        <w:spacing w:line="420" w:lineRule="exact"/>
        <w:ind w:firstLine="480" w:firstLineChars="200"/>
        <w:jc w:val="left"/>
        <w:rPr>
          <w:sz w:val="24"/>
        </w:rPr>
      </w:pPr>
      <w:r>
        <w:rPr>
          <w:sz w:val="24"/>
        </w:rPr>
        <w:t>1</w:t>
      </w:r>
      <w:r>
        <w:rPr>
          <w:rFonts w:hAnsi="宋体"/>
          <w:sz w:val="24"/>
        </w:rPr>
        <w:t>、投标人按第七部分</w:t>
      </w:r>
      <w:r>
        <w:rPr>
          <w:rFonts w:hint="eastAsia"/>
          <w:sz w:val="24"/>
        </w:rPr>
        <w:t>“</w:t>
      </w:r>
      <w:r>
        <w:rPr>
          <w:rFonts w:hAnsi="宋体"/>
          <w:sz w:val="24"/>
        </w:rPr>
        <w:t>投标文件组成</w:t>
      </w:r>
      <w:r>
        <w:rPr>
          <w:rFonts w:hint="eastAsia" w:hAnsi="宋体"/>
          <w:sz w:val="24"/>
        </w:rPr>
        <w:t>”</w:t>
      </w:r>
      <w:r>
        <w:rPr>
          <w:rFonts w:hAnsi="宋体"/>
          <w:sz w:val="24"/>
        </w:rPr>
        <w:t>编写投标文件，</w:t>
      </w:r>
      <w:r>
        <w:rPr>
          <w:rFonts w:hAnsi="宋体"/>
          <w:kern w:val="0"/>
          <w:sz w:val="24"/>
          <w:lang w:val="zh-CN"/>
        </w:rPr>
        <w:t>投标文件规格幅面</w:t>
      </w:r>
      <w:r>
        <w:rPr>
          <w:sz w:val="24"/>
        </w:rPr>
        <w:t>A4</w:t>
      </w:r>
      <w:r>
        <w:rPr>
          <w:rFonts w:hAnsi="宋体"/>
          <w:sz w:val="24"/>
        </w:rPr>
        <w:t>纸（图纸等除外），</w:t>
      </w:r>
      <w:r>
        <w:rPr>
          <w:rFonts w:hAnsi="宋体"/>
          <w:kern w:val="0"/>
          <w:sz w:val="24"/>
          <w:lang w:val="zh-CN"/>
        </w:rPr>
        <w:t>正文</w:t>
      </w:r>
      <w:r>
        <w:rPr>
          <w:rFonts w:hint="eastAsia" w:hAnsi="宋体"/>
          <w:kern w:val="0"/>
          <w:sz w:val="24"/>
          <w:lang w:val="zh-CN"/>
        </w:rPr>
        <w:t>可</w:t>
      </w:r>
      <w:r>
        <w:rPr>
          <w:rFonts w:hAnsi="宋体"/>
          <w:kern w:val="0"/>
          <w:sz w:val="24"/>
          <w:lang w:val="zh-CN"/>
        </w:rPr>
        <w:t>使用宋体四号字，按照招标文件所规定的内容顺序，统一编目、编页码装订（投标文件中复印件及彩色宣传资料等均须与投标文件正文一起逐页编排页码）。由于编排混乱导致投标文件被误读或查找不到，其责任应当由投标人承担。</w:t>
      </w:r>
      <w:r>
        <w:rPr>
          <w:rFonts w:hAnsi="宋体"/>
          <w:sz w:val="24"/>
        </w:rPr>
        <w:t>不得将内容拆开投标，并牢固装订成册。不允许使用活页夹、拉杆夹、文件夹、塑料方便式书脊（插入式或穿孔式）装订。投标文件不得行间插字、涂改、增删，如修补错漏处，须经投标文件签署人签字并加盖公章。</w:t>
      </w:r>
    </w:p>
    <w:p>
      <w:pPr>
        <w:snapToGrid w:val="0"/>
        <w:spacing w:line="420" w:lineRule="exact"/>
        <w:ind w:firstLine="480" w:firstLineChars="200"/>
        <w:jc w:val="left"/>
        <w:rPr>
          <w:sz w:val="24"/>
        </w:rPr>
      </w:pPr>
      <w:r>
        <w:rPr>
          <w:sz w:val="24"/>
        </w:rPr>
        <w:t>2</w:t>
      </w:r>
      <w:r>
        <w:rPr>
          <w:rFonts w:hAnsi="宋体"/>
          <w:sz w:val="24"/>
        </w:rPr>
        <w:t>、投标文件</w:t>
      </w:r>
      <w:r>
        <w:rPr>
          <w:rFonts w:hint="eastAsia" w:hAnsi="宋体"/>
          <w:sz w:val="24"/>
        </w:rPr>
        <w:t>的</w:t>
      </w:r>
      <w:r>
        <w:rPr>
          <w:rFonts w:hint="eastAsia" w:hAnsi="宋体"/>
          <w:b/>
          <w:sz w:val="24"/>
        </w:rPr>
        <w:t>资格审查资料、商务技术标、报价标均为</w:t>
      </w:r>
      <w:r>
        <w:rPr>
          <w:rFonts w:hAnsi="宋体"/>
          <w:b/>
          <w:sz w:val="24"/>
          <w:lang w:val="zh-CN"/>
        </w:rPr>
        <w:t>一</w:t>
      </w:r>
      <w:r>
        <w:rPr>
          <w:rFonts w:hAnsi="宋体"/>
          <w:b/>
          <w:sz w:val="24"/>
        </w:rPr>
        <w:t>份正本和四份副本</w:t>
      </w:r>
      <w:r>
        <w:rPr>
          <w:rFonts w:hAnsi="宋体"/>
          <w:sz w:val="24"/>
        </w:rPr>
        <w:t>，并明确标注</w:t>
      </w:r>
      <w:r>
        <w:rPr>
          <w:rFonts w:hAnsi="宋体"/>
          <w:sz w:val="24"/>
          <w:lang w:val="zh-CN"/>
        </w:rPr>
        <w:t>投标人全称、</w:t>
      </w:r>
      <w:r>
        <w:rPr>
          <w:rFonts w:hint="eastAsia"/>
          <w:sz w:val="24"/>
        </w:rPr>
        <w:t>“</w:t>
      </w:r>
      <w:r>
        <w:rPr>
          <w:rFonts w:hAnsi="宋体"/>
          <w:sz w:val="24"/>
        </w:rPr>
        <w:t>正本</w:t>
      </w:r>
      <w:r>
        <w:rPr>
          <w:rFonts w:hint="eastAsia" w:hAnsi="宋体"/>
          <w:sz w:val="24"/>
        </w:rPr>
        <w:t>”</w:t>
      </w:r>
      <w:r>
        <w:rPr>
          <w:rFonts w:hAnsi="宋体"/>
          <w:sz w:val="24"/>
        </w:rPr>
        <w:t>、</w:t>
      </w:r>
      <w:r>
        <w:rPr>
          <w:rFonts w:hint="eastAsia" w:hAnsi="宋体"/>
          <w:sz w:val="24"/>
        </w:rPr>
        <w:t>“</w:t>
      </w:r>
      <w:r>
        <w:rPr>
          <w:rFonts w:hAnsi="宋体"/>
          <w:sz w:val="24"/>
        </w:rPr>
        <w:t>副本</w:t>
      </w:r>
      <w:r>
        <w:rPr>
          <w:rFonts w:hint="eastAsia" w:hAnsi="宋体"/>
          <w:sz w:val="24"/>
        </w:rPr>
        <w:t>”</w:t>
      </w:r>
      <w:r>
        <w:rPr>
          <w:rFonts w:hAnsi="宋体"/>
          <w:sz w:val="24"/>
        </w:rPr>
        <w:t>字样。</w:t>
      </w:r>
    </w:p>
    <w:p>
      <w:pPr>
        <w:snapToGrid w:val="0"/>
        <w:spacing w:line="420" w:lineRule="exact"/>
        <w:ind w:firstLine="480" w:firstLineChars="200"/>
        <w:jc w:val="left"/>
        <w:rPr>
          <w:sz w:val="24"/>
        </w:rPr>
      </w:pPr>
      <w:r>
        <w:rPr>
          <w:sz w:val="24"/>
        </w:rPr>
        <w:t>3</w:t>
      </w:r>
      <w:r>
        <w:rPr>
          <w:rFonts w:hAnsi="宋体"/>
          <w:sz w:val="24"/>
        </w:rPr>
        <w:t>、投标文件正本须打印并由投标人法定代表人或授权人签字并加盖单位印章。副本可复印，但须加盖单位印章。</w:t>
      </w:r>
    </w:p>
    <w:p>
      <w:pPr>
        <w:snapToGrid w:val="0"/>
        <w:spacing w:line="420" w:lineRule="exact"/>
        <w:ind w:firstLine="482" w:firstLineChars="200"/>
        <w:jc w:val="left"/>
        <w:rPr>
          <w:b/>
          <w:sz w:val="24"/>
        </w:rPr>
      </w:pPr>
      <w:r>
        <w:rPr>
          <w:rFonts w:hAnsi="宋体"/>
          <w:b/>
          <w:sz w:val="24"/>
        </w:rPr>
        <w:t>五、投标文件的密封及标记</w:t>
      </w:r>
    </w:p>
    <w:p>
      <w:pPr>
        <w:snapToGrid w:val="0"/>
        <w:spacing w:line="420" w:lineRule="exact"/>
        <w:ind w:firstLine="480" w:firstLineChars="200"/>
        <w:jc w:val="left"/>
        <w:rPr>
          <w:sz w:val="24"/>
        </w:rPr>
      </w:pPr>
      <w:r>
        <w:rPr>
          <w:sz w:val="24"/>
        </w:rPr>
        <w:t>1</w:t>
      </w:r>
      <w:r>
        <w:rPr>
          <w:rFonts w:hAnsi="宋体"/>
          <w:sz w:val="24"/>
        </w:rPr>
        <w:t>、投标人</w:t>
      </w:r>
      <w:r>
        <w:rPr>
          <w:rFonts w:hint="eastAsia" w:hAnsi="宋体"/>
          <w:sz w:val="24"/>
        </w:rPr>
        <w:t>可以</w:t>
      </w:r>
      <w:r>
        <w:rPr>
          <w:rFonts w:hAnsi="宋体"/>
          <w:sz w:val="24"/>
        </w:rPr>
        <w:t>将正本、副本及图纸类等（如需提供图纸等其它资料的话）合并密封，统一装在一个密封袋或密封箱内（如有</w:t>
      </w:r>
      <w:r>
        <w:rPr>
          <w:sz w:val="24"/>
        </w:rPr>
        <w:t>A3</w:t>
      </w:r>
      <w:r>
        <w:rPr>
          <w:rFonts w:hAnsi="宋体"/>
          <w:sz w:val="24"/>
        </w:rPr>
        <w:t>大小的图纸类，可单独密封）。正本、副本分别密封的，封袋上应标明</w:t>
      </w:r>
      <w:r>
        <w:rPr>
          <w:sz w:val="24"/>
        </w:rPr>
        <w:t>“</w:t>
      </w:r>
      <w:r>
        <w:rPr>
          <w:rFonts w:hAnsi="宋体"/>
          <w:sz w:val="24"/>
        </w:rPr>
        <w:t>正本</w:t>
      </w:r>
      <w:r>
        <w:rPr>
          <w:sz w:val="24"/>
        </w:rPr>
        <w:t>”</w:t>
      </w:r>
      <w:r>
        <w:rPr>
          <w:rFonts w:hAnsi="宋体"/>
          <w:sz w:val="24"/>
        </w:rPr>
        <w:t>、</w:t>
      </w:r>
      <w:r>
        <w:rPr>
          <w:sz w:val="24"/>
        </w:rPr>
        <w:t>“</w:t>
      </w:r>
      <w:r>
        <w:rPr>
          <w:rFonts w:hAnsi="宋体"/>
          <w:sz w:val="24"/>
        </w:rPr>
        <w:t>副本</w:t>
      </w:r>
      <w:r>
        <w:rPr>
          <w:sz w:val="24"/>
        </w:rPr>
        <w:t>”</w:t>
      </w:r>
      <w:r>
        <w:rPr>
          <w:rFonts w:hAnsi="宋体"/>
          <w:sz w:val="24"/>
        </w:rPr>
        <w:t>字样。</w:t>
      </w:r>
    </w:p>
    <w:p>
      <w:pPr>
        <w:snapToGrid w:val="0"/>
        <w:spacing w:line="420" w:lineRule="exact"/>
        <w:ind w:firstLine="480" w:firstLineChars="200"/>
        <w:jc w:val="left"/>
        <w:rPr>
          <w:rFonts w:hAnsi="宋体"/>
          <w:sz w:val="24"/>
        </w:rPr>
      </w:pPr>
      <w:r>
        <w:rPr>
          <w:sz w:val="24"/>
        </w:rPr>
        <w:t>2</w:t>
      </w:r>
      <w:r>
        <w:rPr>
          <w:rFonts w:hAnsi="宋体"/>
          <w:sz w:val="24"/>
        </w:rPr>
        <w:t>、</w:t>
      </w:r>
      <w:r>
        <w:rPr>
          <w:rFonts w:hint="eastAsia" w:hAnsi="宋体"/>
          <w:sz w:val="24"/>
        </w:rPr>
        <w:t>报价标</w:t>
      </w:r>
      <w:r>
        <w:rPr>
          <w:rFonts w:hAnsi="宋体"/>
          <w:sz w:val="24"/>
        </w:rPr>
        <w:t>须单独密封，不得出现于</w:t>
      </w:r>
      <w:r>
        <w:rPr>
          <w:rFonts w:hint="eastAsia" w:hAnsi="宋体"/>
          <w:sz w:val="24"/>
        </w:rPr>
        <w:t>资格审查资料、商务技术标</w:t>
      </w:r>
      <w:r>
        <w:rPr>
          <w:rFonts w:hAnsi="宋体"/>
          <w:sz w:val="24"/>
        </w:rPr>
        <w:t>正本或副本等投标资料中。</w:t>
      </w:r>
    </w:p>
    <w:p>
      <w:pPr>
        <w:snapToGrid w:val="0"/>
        <w:spacing w:line="420" w:lineRule="exact"/>
        <w:ind w:firstLine="480" w:firstLineChars="200"/>
        <w:jc w:val="left"/>
        <w:rPr>
          <w:sz w:val="24"/>
        </w:rPr>
      </w:pPr>
      <w:r>
        <w:rPr>
          <w:sz w:val="24"/>
        </w:rPr>
        <w:t>3</w:t>
      </w:r>
      <w:r>
        <w:rPr>
          <w:rFonts w:hAnsi="宋体"/>
          <w:sz w:val="24"/>
        </w:rPr>
        <w:t>、投标文件的资格审查资料、商务技术标和报价标应分别密封，并在封袋上写明</w:t>
      </w:r>
      <w:r>
        <w:rPr>
          <w:rFonts w:hint="eastAsia" w:hAnsi="宋体"/>
          <w:sz w:val="24"/>
        </w:rPr>
        <w:t xml:space="preserve"> “</w:t>
      </w:r>
      <w:r>
        <w:rPr>
          <w:rFonts w:hAnsi="宋体"/>
          <w:b/>
          <w:sz w:val="24"/>
        </w:rPr>
        <w:t>资格审查资料</w:t>
      </w:r>
      <w:r>
        <w:rPr>
          <w:rFonts w:hint="eastAsia" w:hAnsi="宋体"/>
          <w:sz w:val="24"/>
        </w:rPr>
        <w:t>”</w:t>
      </w:r>
      <w:r>
        <w:rPr>
          <w:rFonts w:hAnsi="宋体"/>
          <w:sz w:val="24"/>
        </w:rPr>
        <w:t>、</w:t>
      </w:r>
      <w:r>
        <w:rPr>
          <w:rFonts w:hint="eastAsia" w:hAnsi="宋体"/>
          <w:sz w:val="24"/>
        </w:rPr>
        <w:t>“</w:t>
      </w:r>
      <w:r>
        <w:rPr>
          <w:rFonts w:hAnsi="宋体"/>
          <w:b/>
          <w:sz w:val="24"/>
        </w:rPr>
        <w:t>商务技术标</w:t>
      </w:r>
      <w:r>
        <w:rPr>
          <w:rFonts w:hint="eastAsia" w:hAnsi="宋体"/>
          <w:sz w:val="24"/>
        </w:rPr>
        <w:t>”、“</w:t>
      </w:r>
      <w:r>
        <w:rPr>
          <w:rFonts w:hAnsi="宋体"/>
          <w:b/>
          <w:sz w:val="24"/>
        </w:rPr>
        <w:t>报价标</w:t>
      </w:r>
      <w:r>
        <w:rPr>
          <w:rFonts w:hint="eastAsia" w:hAnsi="宋体"/>
          <w:sz w:val="24"/>
        </w:rPr>
        <w:t>”</w:t>
      </w:r>
      <w:r>
        <w:rPr>
          <w:rFonts w:hAnsi="宋体"/>
          <w:sz w:val="24"/>
        </w:rPr>
        <w:t>，同时还要写明采购人名称、项目名称及投标人名称。封袋上应加盖投标人公章。</w:t>
      </w:r>
    </w:p>
    <w:p>
      <w:pPr>
        <w:snapToGrid w:val="0"/>
        <w:spacing w:line="420" w:lineRule="exact"/>
        <w:ind w:firstLine="482" w:firstLineChars="200"/>
        <w:jc w:val="left"/>
        <w:rPr>
          <w:rFonts w:ascii="宋体" w:hAnsi="宋体"/>
          <w:sz w:val="24"/>
        </w:rPr>
      </w:pPr>
      <w:r>
        <w:rPr>
          <w:rFonts w:hint="eastAsia" w:hAnsi="宋体"/>
          <w:b/>
          <w:sz w:val="24"/>
        </w:rPr>
        <w:t>未按上述规定密封的投标文件，采购人不予接收</w:t>
      </w:r>
      <w:r>
        <w:rPr>
          <w:rFonts w:hint="eastAsia" w:hAnsi="宋体"/>
          <w:sz w:val="24"/>
        </w:rPr>
        <w:t>。</w:t>
      </w:r>
    </w:p>
    <w:p>
      <w:pPr>
        <w:snapToGrid w:val="0"/>
        <w:spacing w:line="420" w:lineRule="exact"/>
        <w:ind w:firstLine="482" w:firstLineChars="200"/>
        <w:jc w:val="left"/>
        <w:rPr>
          <w:rFonts w:hAnsi="宋体"/>
          <w:b/>
          <w:sz w:val="24"/>
        </w:rPr>
      </w:pPr>
      <w:r>
        <w:rPr>
          <w:rFonts w:hAnsi="宋体"/>
          <w:b/>
          <w:sz w:val="24"/>
        </w:rPr>
        <w:t>六、投标文件的递交时间</w:t>
      </w:r>
    </w:p>
    <w:p>
      <w:pPr>
        <w:snapToGrid w:val="0"/>
        <w:spacing w:line="420" w:lineRule="exact"/>
        <w:ind w:firstLine="480" w:firstLineChars="200"/>
        <w:jc w:val="left"/>
        <w:rPr>
          <w:rFonts w:hAnsi="宋体"/>
          <w:sz w:val="24"/>
        </w:rPr>
      </w:pPr>
      <w:r>
        <w:rPr>
          <w:rFonts w:hAnsi="宋体"/>
          <w:sz w:val="24"/>
        </w:rPr>
        <w:t>投标人必须在规定的投标文件</w:t>
      </w:r>
      <w:r>
        <w:rPr>
          <w:rFonts w:hint="eastAsia" w:hAnsi="宋体"/>
          <w:sz w:val="24"/>
        </w:rPr>
        <w:t>递交</w:t>
      </w:r>
      <w:r>
        <w:rPr>
          <w:rFonts w:hAnsi="宋体"/>
          <w:sz w:val="24"/>
        </w:rPr>
        <w:t>截止时间前送达采购人。采购人将拒绝接收在投标截止时间后递交的投标文件。</w:t>
      </w:r>
    </w:p>
    <w:p>
      <w:pPr>
        <w:snapToGrid w:val="0"/>
        <w:spacing w:line="420" w:lineRule="exact"/>
        <w:ind w:firstLine="496" w:firstLineChars="206"/>
        <w:outlineLvl w:val="1"/>
        <w:rPr>
          <w:sz w:val="24"/>
        </w:rPr>
      </w:pPr>
      <w:r>
        <w:rPr>
          <w:rFonts w:hint="eastAsia" w:hAnsi="宋体"/>
          <w:b/>
          <w:sz w:val="24"/>
        </w:rPr>
        <w:t>七、</w:t>
      </w:r>
      <w:r>
        <w:rPr>
          <w:b/>
          <w:sz w:val="24"/>
        </w:rPr>
        <w:t>投标保证金</w:t>
      </w:r>
    </w:p>
    <w:p>
      <w:pPr>
        <w:spacing w:line="420" w:lineRule="exact"/>
        <w:ind w:firstLine="480" w:firstLineChars="200"/>
        <w:rPr>
          <w:sz w:val="24"/>
        </w:rPr>
      </w:pPr>
      <w:r>
        <w:rPr>
          <w:sz w:val="24"/>
        </w:rPr>
        <w:t>1</w:t>
      </w:r>
      <w:r>
        <w:rPr>
          <w:rFonts w:hAnsi="宋体"/>
          <w:sz w:val="24"/>
        </w:rPr>
        <w:t>、本项目投标保证金</w:t>
      </w:r>
      <w:r>
        <w:rPr>
          <w:rFonts w:hint="eastAsia" w:hAnsi="宋体"/>
          <w:sz w:val="24"/>
        </w:rPr>
        <w:t>金额：</w:t>
      </w:r>
      <w:r>
        <w:rPr>
          <w:rFonts w:hint="eastAsia" w:ascii="宋体" w:hAnsi="宋体" w:cs="宋体"/>
          <w:b/>
          <w:sz w:val="24"/>
          <w:u w:val="single"/>
        </w:rPr>
        <w:t>捌仟元整</w:t>
      </w:r>
    </w:p>
    <w:p>
      <w:pPr>
        <w:widowControl/>
        <w:spacing w:line="420" w:lineRule="exact"/>
        <w:ind w:firstLine="480" w:firstLineChars="200"/>
        <w:jc w:val="left"/>
        <w:rPr>
          <w:rFonts w:ascii="黑体" w:hAnsi="黑体" w:eastAsia="黑体"/>
          <w:sz w:val="24"/>
        </w:rPr>
      </w:pPr>
      <w:r>
        <w:rPr>
          <w:bCs/>
          <w:sz w:val="24"/>
        </w:rPr>
        <w:t>2</w:t>
      </w:r>
      <w:r>
        <w:rPr>
          <w:rFonts w:hAnsi="宋体"/>
          <w:bCs/>
          <w:sz w:val="24"/>
        </w:rPr>
        <w:t>、投标保证金仅限</w:t>
      </w:r>
      <w:r>
        <w:rPr>
          <w:rFonts w:hint="eastAsia" w:hAnsi="宋体"/>
          <w:b/>
          <w:bCs/>
          <w:sz w:val="24"/>
          <w:u w:val="single"/>
        </w:rPr>
        <w:t xml:space="preserve">现金（密封） </w:t>
      </w:r>
      <w:r>
        <w:rPr>
          <w:rFonts w:hAnsi="宋体"/>
          <w:bCs/>
          <w:sz w:val="24"/>
        </w:rPr>
        <w:t>，不接受其他方式。投标人须在递交投标文件的同时将投标保证金递交给代理机构查验。</w:t>
      </w:r>
    </w:p>
    <w:p>
      <w:pPr>
        <w:spacing w:line="420" w:lineRule="exact"/>
        <w:ind w:firstLine="480" w:firstLineChars="200"/>
        <w:rPr>
          <w:sz w:val="24"/>
        </w:rPr>
      </w:pPr>
      <w:r>
        <w:rPr>
          <w:rFonts w:hint="eastAsia"/>
          <w:sz w:val="24"/>
        </w:rPr>
        <w:t>3</w:t>
      </w:r>
      <w:r>
        <w:rPr>
          <w:rFonts w:hAnsi="宋体"/>
          <w:sz w:val="24"/>
        </w:rPr>
        <w:t>、未按时或未按规定方式提交保证金的，视为放弃投标资格。</w:t>
      </w:r>
    </w:p>
    <w:p>
      <w:pPr>
        <w:spacing w:line="420" w:lineRule="exact"/>
        <w:ind w:firstLine="480" w:firstLineChars="200"/>
        <w:rPr>
          <w:sz w:val="24"/>
        </w:rPr>
      </w:pPr>
      <w:r>
        <w:rPr>
          <w:rFonts w:hint="eastAsia"/>
          <w:sz w:val="24"/>
        </w:rPr>
        <w:t>4</w:t>
      </w:r>
      <w:r>
        <w:rPr>
          <w:rFonts w:hAnsi="宋体"/>
          <w:sz w:val="24"/>
        </w:rPr>
        <w:t>、</w:t>
      </w:r>
      <w:r>
        <w:rPr>
          <w:rFonts w:ascii="宋体" w:hAnsi="宋体"/>
          <w:sz w:val="24"/>
        </w:rPr>
        <w:t>未中标的投标人保证金</w:t>
      </w:r>
      <w:r>
        <w:rPr>
          <w:rFonts w:hint="eastAsia" w:ascii="宋体" w:hAnsi="宋体"/>
          <w:sz w:val="24"/>
        </w:rPr>
        <w:t>银行</w:t>
      </w:r>
      <w:r>
        <w:rPr>
          <w:rFonts w:ascii="宋体" w:hAnsi="宋体"/>
          <w:sz w:val="24"/>
        </w:rPr>
        <w:t>汇票在项目评审结束后退还。</w:t>
      </w:r>
    </w:p>
    <w:p>
      <w:pPr>
        <w:spacing w:line="420" w:lineRule="exact"/>
        <w:ind w:firstLine="480" w:firstLineChars="200"/>
        <w:rPr>
          <w:rFonts w:ascii="宋体" w:hAnsi="宋体"/>
          <w:sz w:val="24"/>
        </w:rPr>
      </w:pPr>
      <w:r>
        <w:rPr>
          <w:rFonts w:hint="eastAsia" w:ascii="宋体" w:hAnsi="宋体"/>
          <w:sz w:val="24"/>
        </w:rPr>
        <w:t>5</w:t>
      </w:r>
      <w:r>
        <w:rPr>
          <w:rFonts w:ascii="宋体" w:hAnsi="宋体"/>
          <w:sz w:val="24"/>
        </w:rPr>
        <w:t>、投标单位出现下列情况，取消其投标资格，并没收其投标保证金</w:t>
      </w:r>
      <w:r>
        <w:rPr>
          <w:rFonts w:hint="eastAsia" w:ascii="宋体" w:hAnsi="宋体"/>
          <w:sz w:val="24"/>
        </w:rPr>
        <w:t>：</w:t>
      </w:r>
    </w:p>
    <w:p>
      <w:pPr>
        <w:spacing w:line="420" w:lineRule="exact"/>
        <w:ind w:firstLine="480" w:firstLineChars="200"/>
        <w:rPr>
          <w:rFonts w:ascii="宋体" w:hAnsi="宋体"/>
          <w:sz w:val="24"/>
        </w:rPr>
      </w:pPr>
      <w:r>
        <w:rPr>
          <w:rFonts w:hint="eastAsia" w:ascii="宋体" w:hAnsi="宋体"/>
          <w:sz w:val="24"/>
        </w:rPr>
        <w:t>5.1</w:t>
      </w:r>
      <w:r>
        <w:rPr>
          <w:rFonts w:ascii="宋体" w:hAnsi="宋体"/>
          <w:sz w:val="24"/>
        </w:rPr>
        <w:t>投标截止后投标人撤销投标文件的</w:t>
      </w:r>
      <w:r>
        <w:rPr>
          <w:rFonts w:hint="eastAsia" w:ascii="宋体" w:hAnsi="宋体"/>
          <w:sz w:val="24"/>
        </w:rPr>
        <w:t>；</w:t>
      </w:r>
    </w:p>
    <w:p>
      <w:pPr>
        <w:spacing w:line="420" w:lineRule="exact"/>
        <w:ind w:firstLine="480" w:firstLineChars="200"/>
        <w:rPr>
          <w:rFonts w:ascii="宋体" w:hAnsi="宋体"/>
          <w:sz w:val="24"/>
        </w:rPr>
      </w:pPr>
      <w:r>
        <w:rPr>
          <w:rFonts w:hint="eastAsia" w:ascii="宋体" w:hAnsi="宋体"/>
          <w:sz w:val="24"/>
        </w:rPr>
        <w:t>5.2</w:t>
      </w:r>
      <w:r>
        <w:rPr>
          <w:rFonts w:ascii="宋体" w:hAnsi="宋体"/>
          <w:sz w:val="24"/>
        </w:rPr>
        <w:t>中标人无正当理由不与采购人订立合同</w:t>
      </w:r>
      <w:r>
        <w:rPr>
          <w:rFonts w:hint="eastAsia" w:ascii="宋体" w:hAnsi="宋体"/>
          <w:sz w:val="24"/>
        </w:rPr>
        <w:t>；</w:t>
      </w:r>
      <w:r>
        <w:rPr>
          <w:rFonts w:ascii="宋体" w:hAnsi="宋体"/>
          <w:sz w:val="24"/>
        </w:rPr>
        <w:t>在签订合同时向采购人提出附加条件，或者不按照招标文件要求</w:t>
      </w:r>
      <w:r>
        <w:rPr>
          <w:rFonts w:hint="eastAsia" w:ascii="宋体" w:hAnsi="宋体"/>
          <w:sz w:val="24"/>
        </w:rPr>
        <w:t>足额</w:t>
      </w:r>
      <w:r>
        <w:rPr>
          <w:rFonts w:ascii="宋体" w:hAnsi="宋体"/>
          <w:sz w:val="24"/>
        </w:rPr>
        <w:t>提交履约保证金的。</w:t>
      </w:r>
    </w:p>
    <w:p>
      <w:pPr>
        <w:spacing w:line="420" w:lineRule="exact"/>
        <w:ind w:firstLine="480" w:firstLineChars="200"/>
        <w:rPr>
          <w:rFonts w:ascii="宋体" w:hAnsi="宋体"/>
          <w:sz w:val="24"/>
        </w:rPr>
      </w:pPr>
      <w:r>
        <w:rPr>
          <w:rFonts w:hint="eastAsia" w:ascii="宋体" w:hAnsi="宋体"/>
          <w:sz w:val="24"/>
        </w:rPr>
        <w:t>5.3</w:t>
      </w:r>
      <w:r>
        <w:rPr>
          <w:rFonts w:ascii="宋体" w:hAnsi="宋体"/>
          <w:sz w:val="24"/>
        </w:rPr>
        <w:t>中标人提供虚假材料谋取中标的，采购人有权取消其中标资格，并有权收取其全额保证金作为违约金。</w:t>
      </w:r>
    </w:p>
    <w:p>
      <w:pPr>
        <w:spacing w:line="420" w:lineRule="exact"/>
        <w:ind w:firstLine="482" w:firstLineChars="200"/>
        <w:rPr>
          <w:rFonts w:ascii="宋体" w:hAnsi="宋体"/>
          <w:b/>
          <w:sz w:val="24"/>
        </w:rPr>
      </w:pPr>
      <w:r>
        <w:rPr>
          <w:rFonts w:hint="eastAsia" w:ascii="宋体" w:hAnsi="宋体"/>
          <w:b/>
          <w:sz w:val="24"/>
        </w:rPr>
        <w:t>八、履约保证金</w:t>
      </w:r>
    </w:p>
    <w:p>
      <w:pPr>
        <w:spacing w:line="420" w:lineRule="exact"/>
        <w:ind w:firstLine="480" w:firstLineChars="200"/>
        <w:rPr>
          <w:rFonts w:ascii="宋体" w:hAnsi="宋体"/>
          <w:sz w:val="24"/>
        </w:rPr>
      </w:pPr>
      <w:r>
        <w:rPr>
          <w:rFonts w:hint="eastAsia" w:ascii="宋体" w:hAnsi="宋体"/>
          <w:sz w:val="24"/>
        </w:rPr>
        <w:t>1、本项目成交后金额的5%。</w:t>
      </w:r>
    </w:p>
    <w:p>
      <w:pPr>
        <w:spacing w:line="420" w:lineRule="exact"/>
        <w:ind w:firstLine="480" w:firstLineChars="200"/>
        <w:rPr>
          <w:rFonts w:ascii="宋体" w:hAnsi="宋体"/>
          <w:sz w:val="24"/>
        </w:rPr>
      </w:pPr>
      <w:r>
        <w:rPr>
          <w:rFonts w:hint="eastAsia" w:ascii="宋体" w:hAnsi="宋体"/>
          <w:sz w:val="24"/>
        </w:rPr>
        <w:t>2、在中标通知书发出送达后的15个工作日内，中标人凭成交通知书和已经汇至采购人账上的履约保证金凭证，与采购人签订合同，超期或未有协商，则视为自动放弃成交资格。</w:t>
      </w:r>
    </w:p>
    <w:p>
      <w:pPr>
        <w:spacing w:line="420" w:lineRule="exact"/>
        <w:ind w:firstLine="480" w:firstLineChars="200"/>
        <w:rPr>
          <w:rFonts w:ascii="宋体" w:hAnsi="宋体"/>
          <w:sz w:val="24"/>
        </w:rPr>
      </w:pPr>
      <w:r>
        <w:rPr>
          <w:rFonts w:hint="eastAsia" w:ascii="宋体" w:hAnsi="宋体"/>
          <w:sz w:val="24"/>
        </w:rPr>
        <w:t xml:space="preserve">3、中标人在按要求保质保量的履行完成该项目后，一次性无息退还履约保证金； </w:t>
      </w:r>
    </w:p>
    <w:p>
      <w:pPr>
        <w:spacing w:line="420" w:lineRule="exact"/>
        <w:ind w:firstLine="480" w:firstLineChars="200"/>
        <w:rPr>
          <w:rFonts w:ascii="宋体" w:hAnsi="宋体"/>
          <w:sz w:val="24"/>
        </w:rPr>
      </w:pPr>
      <w:r>
        <w:rPr>
          <w:rFonts w:hint="eastAsia" w:ascii="宋体" w:hAnsi="宋体"/>
          <w:sz w:val="24"/>
        </w:rPr>
        <w:t>4、由于中标人的原因，在签订合同后出现不按合同履行或不适当履行的情况，采购人有权将履约保证金作为违约金，全额不予退还；同时采购人亦有权终止合同，中标人还须依法承担相应的责任。</w:t>
      </w:r>
    </w:p>
    <w:p>
      <w:pPr>
        <w:spacing w:line="420" w:lineRule="exact"/>
        <w:ind w:firstLine="482" w:firstLineChars="200"/>
        <w:rPr>
          <w:rFonts w:ascii="宋体" w:hAnsi="宋体"/>
          <w:b/>
          <w:sz w:val="24"/>
        </w:rPr>
      </w:pPr>
      <w:r>
        <w:rPr>
          <w:rFonts w:hint="eastAsia" w:ascii="宋体" w:hAnsi="宋体"/>
          <w:b/>
          <w:sz w:val="24"/>
        </w:rPr>
        <w:t>九、</w:t>
      </w:r>
      <w:r>
        <w:rPr>
          <w:rFonts w:ascii="宋体" w:hAnsi="宋体"/>
          <w:b/>
          <w:sz w:val="24"/>
        </w:rPr>
        <w:t>投标有效期</w:t>
      </w:r>
    </w:p>
    <w:p>
      <w:pPr>
        <w:spacing w:line="420" w:lineRule="exact"/>
        <w:ind w:firstLine="480" w:firstLineChars="200"/>
        <w:rPr>
          <w:rFonts w:ascii="宋体" w:hAnsi="宋体"/>
          <w:b/>
          <w:color w:val="FF0000"/>
          <w:sz w:val="24"/>
        </w:rPr>
      </w:pPr>
      <w:r>
        <w:rPr>
          <w:rFonts w:hint="eastAsia" w:ascii="宋体" w:hAnsi="宋体"/>
          <w:sz w:val="24"/>
        </w:rPr>
        <w:t>投标文件自投标截止时间起45日历内有效。</w:t>
      </w:r>
    </w:p>
    <w:p>
      <w:pPr>
        <w:spacing w:line="420" w:lineRule="exact"/>
        <w:ind w:firstLine="482" w:firstLineChars="200"/>
        <w:rPr>
          <w:rFonts w:ascii="宋体" w:hAnsi="宋体"/>
          <w:b/>
          <w:sz w:val="24"/>
        </w:rPr>
      </w:pPr>
      <w:r>
        <w:rPr>
          <w:rFonts w:hint="eastAsia" w:ascii="宋体" w:hAnsi="宋体"/>
          <w:b/>
          <w:sz w:val="24"/>
        </w:rPr>
        <w:t>十</w:t>
      </w:r>
      <w:r>
        <w:rPr>
          <w:rFonts w:ascii="宋体" w:hAnsi="宋体"/>
          <w:b/>
          <w:sz w:val="24"/>
        </w:rPr>
        <w:t>、投标费用</w:t>
      </w:r>
    </w:p>
    <w:p>
      <w:pPr>
        <w:spacing w:line="420" w:lineRule="exact"/>
        <w:ind w:firstLine="480" w:firstLineChars="200"/>
        <w:rPr>
          <w:rFonts w:ascii="宋体" w:hAnsi="宋体"/>
          <w:sz w:val="24"/>
        </w:rPr>
      </w:pPr>
      <w:r>
        <w:rPr>
          <w:rFonts w:ascii="宋体" w:hAnsi="宋体"/>
          <w:sz w:val="24"/>
        </w:rPr>
        <w:t>1、投标人应承担其编制投标文件以及递交投标文件所涉及的一切费用。无论投标结果如何，采购人对上述费用不负任何责任。</w:t>
      </w:r>
    </w:p>
    <w:p>
      <w:pPr>
        <w:spacing w:line="420" w:lineRule="exact"/>
        <w:ind w:firstLine="480" w:firstLineChars="200"/>
        <w:rPr>
          <w:rFonts w:ascii="宋体" w:hAnsi="宋体"/>
          <w:sz w:val="24"/>
        </w:rPr>
      </w:pPr>
      <w:r>
        <w:rPr>
          <w:rFonts w:ascii="宋体" w:hAnsi="宋体"/>
          <w:sz w:val="24"/>
        </w:rPr>
        <w:t>2、</w:t>
      </w:r>
      <w:r>
        <w:rPr>
          <w:rFonts w:ascii="宋体" w:hAnsi="宋体"/>
          <w:b/>
          <w:sz w:val="24"/>
        </w:rPr>
        <w:t>招标文件及相关资料费</w:t>
      </w:r>
      <w:r>
        <w:rPr>
          <w:rFonts w:hint="eastAsia" w:ascii="宋体" w:hAnsi="宋体"/>
          <w:b/>
          <w:sz w:val="24"/>
        </w:rPr>
        <w:t>3</w:t>
      </w:r>
      <w:r>
        <w:rPr>
          <w:rFonts w:ascii="宋体" w:hAnsi="宋体"/>
          <w:b/>
          <w:sz w:val="24"/>
        </w:rPr>
        <w:t>00元，由投标人在</w:t>
      </w:r>
      <w:r>
        <w:rPr>
          <w:rFonts w:hint="eastAsia" w:ascii="宋体" w:hAnsi="宋体"/>
          <w:b/>
          <w:sz w:val="24"/>
        </w:rPr>
        <w:t>递交投</w:t>
      </w:r>
      <w:r>
        <w:rPr>
          <w:rFonts w:ascii="宋体" w:hAnsi="宋体"/>
          <w:b/>
          <w:sz w:val="24"/>
        </w:rPr>
        <w:t>标文件时缴纳</w:t>
      </w:r>
      <w:r>
        <w:rPr>
          <w:rFonts w:hint="eastAsia" w:ascii="宋体" w:hAnsi="宋体"/>
          <w:b/>
          <w:sz w:val="24"/>
        </w:rPr>
        <w:t>，售后不退</w:t>
      </w:r>
      <w:r>
        <w:rPr>
          <w:rFonts w:ascii="宋体" w:hAnsi="宋体"/>
          <w:b/>
          <w:sz w:val="24"/>
        </w:rPr>
        <w:t>。</w:t>
      </w:r>
      <w:bookmarkStart w:id="22" w:name="_Hlk16760649"/>
      <w:r>
        <w:rPr>
          <w:rFonts w:hint="eastAsia" w:ascii="宋体" w:hAnsi="宋体"/>
          <w:b/>
          <w:sz w:val="24"/>
        </w:rPr>
        <w:t>本项目招标代理服务费及评委费由中标人支付。招标代理服务费按贰仟元整收取。评委费按实支付。投标人自行考虑相关费用并包含在投标报价内的该项费用及风险并将其综合在单价内，不得单列</w:t>
      </w:r>
      <w:bookmarkEnd w:id="22"/>
      <w:r>
        <w:rPr>
          <w:rFonts w:hint="eastAsia" w:ascii="宋体" w:hAnsi="宋体"/>
          <w:b/>
          <w:sz w:val="24"/>
        </w:rPr>
        <w:t>。</w:t>
      </w:r>
    </w:p>
    <w:p>
      <w:pPr>
        <w:spacing w:line="420" w:lineRule="exact"/>
        <w:ind w:firstLine="480" w:firstLineChars="200"/>
        <w:rPr>
          <w:rFonts w:ascii="宋体" w:hAnsi="宋体"/>
          <w:sz w:val="24"/>
        </w:rPr>
      </w:pPr>
    </w:p>
    <w:p>
      <w:pPr>
        <w:snapToGrid w:val="0"/>
        <w:spacing w:line="420" w:lineRule="exact"/>
        <w:jc w:val="center"/>
        <w:rPr>
          <w:rFonts w:ascii="仿宋_GB2312" w:eastAsia="仿宋_GB2312"/>
          <w:b/>
          <w:bCs/>
          <w:sz w:val="36"/>
          <w:szCs w:val="36"/>
        </w:rPr>
      </w:pPr>
    </w:p>
    <w:p>
      <w:pPr>
        <w:snapToGrid w:val="0"/>
        <w:spacing w:line="420" w:lineRule="exact"/>
        <w:jc w:val="center"/>
        <w:rPr>
          <w:rFonts w:ascii="仿宋_GB2312" w:eastAsia="仿宋_GB2312"/>
          <w:b/>
          <w:bCs/>
          <w:sz w:val="36"/>
          <w:szCs w:val="36"/>
        </w:rPr>
      </w:pPr>
    </w:p>
    <w:p>
      <w:pPr>
        <w:snapToGrid w:val="0"/>
        <w:spacing w:line="420" w:lineRule="exact"/>
        <w:jc w:val="center"/>
        <w:rPr>
          <w:rFonts w:ascii="仿宋_GB2312" w:eastAsia="仿宋_GB2312"/>
          <w:b/>
          <w:bCs/>
          <w:sz w:val="36"/>
          <w:szCs w:val="36"/>
        </w:rPr>
      </w:pPr>
      <w:r>
        <w:rPr>
          <w:rFonts w:hint="eastAsia" w:ascii="仿宋_GB2312" w:eastAsia="仿宋_GB2312"/>
          <w:b/>
          <w:bCs/>
          <w:sz w:val="36"/>
          <w:szCs w:val="36"/>
        </w:rPr>
        <w:t>第三部分  项目需求说明</w:t>
      </w:r>
    </w:p>
    <w:p>
      <w:pPr>
        <w:spacing w:line="420" w:lineRule="exact"/>
        <w:ind w:firstLine="482" w:firstLineChars="200"/>
        <w:rPr>
          <w:rFonts w:ascii="宋体" w:hAnsi="宋体"/>
          <w:sz w:val="24"/>
        </w:rPr>
      </w:pPr>
      <w:r>
        <w:rPr>
          <w:rFonts w:hint="eastAsia" w:ascii="宋体" w:hAnsi="宋体"/>
          <w:b/>
          <w:sz w:val="24"/>
        </w:rPr>
        <w:t>请投标人在制作投标文件时仔细研究项目需求说明</w:t>
      </w:r>
      <w:r>
        <w:rPr>
          <w:rFonts w:hint="eastAsia" w:ascii="宋体" w:hAnsi="宋体"/>
          <w:sz w:val="24"/>
        </w:rPr>
        <w:t>。投标人不能简单照搬照抄采购单位项目需求说明中的技术、商务要求，必须作实事求是的响应。如照搬照抄项目需求说明中的技术、商务要求的，中标人在同采购单位签订合同和履约环节中不得提出异议，一切后果和损失由中标人承担。如投标人提供的货物和服务同采购单位提出的项目需求说明中的技术、商务要求不同的，必须在《商务部分正负偏离表》和《技术部分正负偏离表》上明示，如不明示的视同完全响应。</w:t>
      </w:r>
    </w:p>
    <w:p>
      <w:pPr>
        <w:spacing w:line="420" w:lineRule="exact"/>
        <w:ind w:firstLine="472" w:firstLineChars="196"/>
        <w:rPr>
          <w:rFonts w:ascii="宋体" w:hAnsi="宋体"/>
          <w:b/>
          <w:sz w:val="24"/>
        </w:rPr>
      </w:pPr>
      <w:r>
        <w:rPr>
          <w:rFonts w:hint="eastAsia" w:ascii="宋体" w:hAnsi="宋体"/>
          <w:b/>
          <w:sz w:val="24"/>
        </w:rPr>
        <w:t>一、招标范围</w:t>
      </w:r>
    </w:p>
    <w:p>
      <w:pPr>
        <w:spacing w:line="420" w:lineRule="exact"/>
        <w:ind w:firstLine="480" w:firstLineChars="200"/>
        <w:rPr>
          <w:rFonts w:ascii="宋体" w:hAnsi="宋体" w:cs="宋体"/>
          <w:i/>
          <w:color w:val="FF0000"/>
          <w:sz w:val="24"/>
        </w:rPr>
      </w:pPr>
      <w:r>
        <w:rPr>
          <w:rFonts w:hint="eastAsia" w:ascii="宋体" w:hAnsi="宋体"/>
          <w:sz w:val="24"/>
        </w:rPr>
        <w:t>安全防护设备（下一代防火墙、日志审计、堡垒机、上网行为管理、入侵防御和杀毒软件授权）、安全运维服务（异地数据备份、安全巡检服务、漏洞扫描服务、安全加固服务、应急响应服务、安全迎检服务）。</w:t>
      </w:r>
    </w:p>
    <w:p>
      <w:pPr>
        <w:spacing w:line="420" w:lineRule="exact"/>
        <w:ind w:firstLine="472" w:firstLineChars="196"/>
        <w:rPr>
          <w:rFonts w:ascii="宋体" w:hAnsi="宋体"/>
          <w:b/>
          <w:sz w:val="24"/>
        </w:rPr>
      </w:pPr>
      <w:r>
        <w:rPr>
          <w:rFonts w:hint="eastAsia" w:ascii="宋体" w:hAnsi="宋体"/>
          <w:b/>
          <w:sz w:val="24"/>
        </w:rPr>
        <w:t>二、项目需执行的国家相关标准规范</w:t>
      </w:r>
    </w:p>
    <w:p>
      <w:pPr>
        <w:spacing w:line="420" w:lineRule="exact"/>
        <w:ind w:firstLine="480" w:firstLineChars="200"/>
        <w:rPr>
          <w:rFonts w:ascii="宋体" w:hAnsi="宋体"/>
          <w:i/>
          <w:color w:val="FF0000"/>
          <w:sz w:val="24"/>
        </w:rPr>
      </w:pPr>
      <w:r>
        <w:rPr>
          <w:rFonts w:hint="eastAsia" w:ascii="宋体" w:hAnsi="宋体"/>
          <w:iCs/>
          <w:sz w:val="24"/>
        </w:rPr>
        <w:t>产品必须是全新、未使用过的原装合格正品，完全符合采购文件规定的质量、规格和性能的要求，达到国家或行业规定的标准，实行生产许可证制度的，应提供生产许可证；属于国家强制认证的产品，必须通过认证。</w:t>
      </w:r>
    </w:p>
    <w:p>
      <w:pPr>
        <w:spacing w:line="420" w:lineRule="exact"/>
        <w:ind w:firstLine="472" w:firstLineChars="196"/>
        <w:rPr>
          <w:rFonts w:ascii="宋体" w:hAnsi="宋体"/>
          <w:b/>
          <w:sz w:val="24"/>
        </w:rPr>
      </w:pPr>
      <w:r>
        <w:rPr>
          <w:rFonts w:hint="eastAsia" w:ascii="宋体" w:hAnsi="宋体"/>
          <w:b/>
          <w:sz w:val="24"/>
        </w:rPr>
        <w:t>三、技术参数要求</w:t>
      </w:r>
    </w:p>
    <w:p>
      <w:pPr>
        <w:ind w:firstLine="480" w:firstLineChars="200"/>
        <w:rPr>
          <w:rFonts w:ascii="宋体" w:hAnsi="宋体" w:cs="楷体_GB2312"/>
          <w:iCs/>
          <w:sz w:val="24"/>
        </w:rPr>
      </w:pPr>
      <w:r>
        <w:rPr>
          <w:rFonts w:hint="eastAsia" w:ascii="宋体" w:hAnsi="宋体" w:cs="楷体_GB2312"/>
          <w:iCs/>
          <w:sz w:val="24"/>
        </w:rPr>
        <w:t>1、下一代防火墙</w:t>
      </w:r>
    </w:p>
    <w:tbl>
      <w:tblPr>
        <w:tblStyle w:val="19"/>
        <w:tblW w:w="9060" w:type="dxa"/>
        <w:jc w:val="center"/>
        <w:tblLayout w:type="fixed"/>
        <w:tblCellMar>
          <w:top w:w="0" w:type="dxa"/>
          <w:left w:w="108" w:type="dxa"/>
          <w:bottom w:w="0" w:type="dxa"/>
          <w:right w:w="108" w:type="dxa"/>
        </w:tblCellMar>
      </w:tblPr>
      <w:tblGrid>
        <w:gridCol w:w="1655"/>
        <w:gridCol w:w="7405"/>
      </w:tblGrid>
      <w:tr>
        <w:tblPrEx>
          <w:tblCellMar>
            <w:top w:w="0" w:type="dxa"/>
            <w:left w:w="108" w:type="dxa"/>
            <w:bottom w:w="0" w:type="dxa"/>
            <w:right w:w="108" w:type="dxa"/>
          </w:tblCellMar>
        </w:tblPrEx>
        <w:trPr>
          <w:trHeight w:val="331" w:hRule="atLeast"/>
          <w:jc w:val="center"/>
        </w:trPr>
        <w:tc>
          <w:tcPr>
            <w:tcW w:w="1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b/>
                <w:bCs/>
                <w:color w:val="000000"/>
                <w:sz w:val="24"/>
              </w:rPr>
            </w:pPr>
            <w:r>
              <w:rPr>
                <w:rFonts w:hint="eastAsia" w:ascii="宋体" w:hAnsi="宋体" w:cs="宋体"/>
                <w:b/>
                <w:bCs/>
                <w:color w:val="000000"/>
                <w:sz w:val="24"/>
              </w:rPr>
              <w:t>指标项</w:t>
            </w:r>
          </w:p>
        </w:tc>
        <w:tc>
          <w:tcPr>
            <w:tcW w:w="7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b/>
                <w:bCs/>
                <w:color w:val="000000"/>
                <w:sz w:val="24"/>
              </w:rPr>
            </w:pPr>
            <w:r>
              <w:rPr>
                <w:rFonts w:hint="eastAsia" w:ascii="宋体" w:hAnsi="宋体" w:cs="宋体"/>
                <w:b/>
                <w:bCs/>
                <w:color w:val="000000"/>
                <w:sz w:val="24"/>
              </w:rPr>
              <w:t>参数要求</w:t>
            </w:r>
          </w:p>
        </w:tc>
      </w:tr>
      <w:tr>
        <w:tblPrEx>
          <w:tblCellMar>
            <w:top w:w="0" w:type="dxa"/>
            <w:left w:w="108" w:type="dxa"/>
            <w:bottom w:w="0" w:type="dxa"/>
            <w:right w:w="108" w:type="dxa"/>
          </w:tblCellMar>
        </w:tblPrEx>
        <w:trPr>
          <w:trHeight w:val="331" w:hRule="atLeast"/>
          <w:jc w:val="center"/>
        </w:trPr>
        <w:tc>
          <w:tcPr>
            <w:tcW w:w="1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sz w:val="24"/>
              </w:rPr>
              <w:t>配置要求</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sz w:val="24"/>
              </w:rPr>
              <w:t>标准1U机箱；</w:t>
            </w:r>
            <w:r>
              <w:rPr>
                <w:rFonts w:hint="eastAsia" w:ascii="宋体" w:hAnsi="宋体" w:cs="宋体"/>
                <w:color w:val="000000"/>
                <w:kern w:val="0"/>
                <w:sz w:val="24"/>
              </w:rPr>
              <w:t>▲</w:t>
            </w:r>
            <w:r>
              <w:rPr>
                <w:rFonts w:hint="eastAsia" w:ascii="宋体" w:hAnsi="宋体" w:cs="宋体"/>
                <w:color w:val="000000"/>
                <w:sz w:val="24"/>
              </w:rPr>
              <w:t>网络处理能力≥20Gbps，并发连接≥200万，每秒新建连接13万/秒；标准配置≥16个10/100/1000M自适应电，4个SFP插槽，4个SFP+插槽，1个Console口， 2个扩展插槽；含应用控制、URL过滤、病毒防护、入侵防御、威胁情报检测、IPSec VPN（含700授权）、提供300个点的SSL VPN的服务；含三年规则库升级授权，三年标准维保服务。</w:t>
            </w:r>
          </w:p>
        </w:tc>
      </w:tr>
      <w:tr>
        <w:tblPrEx>
          <w:tblCellMar>
            <w:top w:w="0" w:type="dxa"/>
            <w:left w:w="108" w:type="dxa"/>
            <w:bottom w:w="0" w:type="dxa"/>
            <w:right w:w="108" w:type="dxa"/>
          </w:tblCellMar>
        </w:tblPrEx>
        <w:trPr>
          <w:trHeight w:val="568" w:hRule="atLeast"/>
          <w:jc w:val="center"/>
        </w:trPr>
        <w:tc>
          <w:tcPr>
            <w:tcW w:w="1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部署模式</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产品支持路由、透明、交换以及混合模式接入，满足复杂应用环境的接入需求。支持旁路模式；</w:t>
            </w:r>
          </w:p>
        </w:tc>
      </w:tr>
      <w:tr>
        <w:tblPrEx>
          <w:tblCellMar>
            <w:top w:w="0" w:type="dxa"/>
            <w:left w:w="108" w:type="dxa"/>
            <w:bottom w:w="0" w:type="dxa"/>
            <w:right w:w="108" w:type="dxa"/>
          </w:tblCellMar>
        </w:tblPrEx>
        <w:trPr>
          <w:trHeight w:val="1161"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网络协议</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所投产品必须支持VTEP（VxLan Tunnel EndPoint）模式接入VxLAN网络，并可作为VXLAN二层、三层网关实现VxLan网络与传统以太网的相同子网内、跨子网间互联互通；支持通过绑定VLAN、VNI（VXLAN Network Identifier）、远程VTEP，手动管理VxLan网络；支持MAC、VNI、VTEP静态绑定</w:t>
            </w:r>
            <w:r>
              <w:rPr>
                <w:rFonts w:hint="eastAsia" w:ascii="宋体" w:hAnsi="宋体" w:cs="宋体"/>
                <w:b/>
                <w:bCs/>
                <w:color w:val="000000"/>
                <w:kern w:val="0"/>
                <w:sz w:val="24"/>
              </w:rPr>
              <w:t>（投标文件需要提供能够体现上述功能的截图）</w:t>
            </w: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949"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所投产品必须支持MPLS流量透传；支持针对MPLS流量的安全审查，包括漏洞防护、反病毒、间谍软件防护、内容过滤、URL过滤、基于终端状态访问控制等安全防护功能；</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949"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所投产品必须支持支持通过802.3ad协议、轮询、热备等方式将多个物理口绑定为一个逻辑接口，实现接口级的冗余，并可根据：源目的MAC组合、MAC和IP组合或TCP/UDP端口组合等方式实现负载和备份</w:t>
            </w:r>
            <w:r>
              <w:rPr>
                <w:rFonts w:hint="eastAsia" w:ascii="宋体" w:hAnsi="宋体" w:cs="宋体"/>
                <w:b/>
                <w:bCs/>
                <w:color w:val="000000"/>
                <w:kern w:val="0"/>
                <w:sz w:val="24"/>
              </w:rPr>
              <w:t>（投标文件需提供能够体现上述组合方式的配置选项截图）</w:t>
            </w:r>
          </w:p>
        </w:tc>
      </w:tr>
      <w:tr>
        <w:tblPrEx>
          <w:tblCellMar>
            <w:top w:w="0" w:type="dxa"/>
            <w:left w:w="108" w:type="dxa"/>
            <w:bottom w:w="0" w:type="dxa"/>
            <w:right w:w="108" w:type="dxa"/>
          </w:tblCellMar>
        </w:tblPrEx>
        <w:trPr>
          <w:trHeight w:val="58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 xml:space="preserve">所投产品必须支持MTU≥9000byte的巨型帧Jumbo Frame </w:t>
            </w:r>
            <w:r>
              <w:rPr>
                <w:rFonts w:hint="eastAsia" w:ascii="宋体" w:hAnsi="宋体" w:cs="宋体"/>
                <w:b/>
                <w:bCs/>
                <w:color w:val="000000"/>
                <w:kern w:val="0"/>
                <w:sz w:val="24"/>
              </w:rPr>
              <w:t>（投标文件需提供能够体现上述组合方式的配置选项截图）</w:t>
            </w:r>
          </w:p>
        </w:tc>
      </w:tr>
      <w:tr>
        <w:tblPrEx>
          <w:tblCellMar>
            <w:top w:w="0" w:type="dxa"/>
            <w:left w:w="108" w:type="dxa"/>
            <w:bottom w:w="0" w:type="dxa"/>
            <w:right w:w="108" w:type="dxa"/>
          </w:tblCellMar>
        </w:tblPrEx>
        <w:trPr>
          <w:trHeight w:val="1254"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路由协议</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所投产品必须支持支持静态路由、策略路由及动态路由。策略路由支持用户自定义其优先级，动态路由应至少支持RIP v1/v2/ng， OSPFv2/v3，BGP4/4+协议；必须支持静态和动态多播路由，动态多播路由必须支持PIM-SM（稀疏模式）</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1720"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基于策略的路由负载，支持根据应用和服务进行智能选路，支持源地址目的地址哈希、源地址哈希、轮询、时延负载、备份、随机、流量均衡、源地址轮询、目的地址哈希、最优链路带宽负载、最优链路带宽备份、跳数负载等不少于12种路由负载均衡方式，支持基于IPv4或IPv6的TCP、HTTP、DNS、ICMP等方式的链路探测，同时TCP与HTTP可使用自定义目标端口进行测试</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1161"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ISP路由负载均衡，最大可支持8条链路负载，支持自定义负载权重，支持基于优先级的ISP路由链路备份；支持基于IPv4或IPv6的TCP、HTTP、DNS、ICMP等方式的链路探测，同时TCP与HTTP可使用自定义目标端口进行测试</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1102"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地址转换</w:t>
            </w: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所投产品必须支持全面的NAT转换配置，包括一对一，一对多，多对一的源、目的地址转换，并至少支持FULL_CONE模式和SYMMETRIC模式</w:t>
            </w:r>
            <w:r>
              <w:rPr>
                <w:rFonts w:hint="eastAsia" w:ascii="宋体" w:hAnsi="宋体" w:cs="宋体"/>
                <w:b/>
                <w:bCs/>
                <w:color w:val="000000"/>
                <w:kern w:val="0"/>
                <w:sz w:val="24"/>
              </w:rPr>
              <w:t>（投标文件需要提供能够体现上述功能及配置选项的截图以及测试方案）</w:t>
            </w:r>
          </w:p>
        </w:tc>
      </w:tr>
      <w:tr>
        <w:tblPrEx>
          <w:tblCellMar>
            <w:top w:w="0" w:type="dxa"/>
            <w:left w:w="108" w:type="dxa"/>
            <w:bottom w:w="0" w:type="dxa"/>
            <w:right w:w="108" w:type="dxa"/>
          </w:tblCellMar>
        </w:tblPrEx>
        <w:trPr>
          <w:trHeight w:val="58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所投产品必须支持在会话的源、目的地址同为IPv4地址时，可将目的地址转换至指定服务器地址</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1000"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所投产品必须支持在源地址转换过程中，对SNAT（源地址转换）使用的地址池利用率进行监控，并在地址池利用率超过阈值时，通过SNMP Trap、邮件等方式告警。</w:t>
            </w:r>
            <w:r>
              <w:rPr>
                <w:rFonts w:hint="eastAsia" w:ascii="宋体" w:hAnsi="宋体" w:cs="宋体"/>
                <w:b/>
                <w:bCs/>
                <w:color w:val="000000"/>
                <w:kern w:val="0"/>
                <w:sz w:val="24"/>
              </w:rPr>
              <w:t>（投标文件需提供能够体现上述功能配置选项截图)</w:t>
            </w:r>
          </w:p>
        </w:tc>
      </w:tr>
      <w:tr>
        <w:tblPrEx>
          <w:tblCellMar>
            <w:top w:w="0" w:type="dxa"/>
            <w:left w:w="108" w:type="dxa"/>
            <w:bottom w:w="0" w:type="dxa"/>
            <w:right w:w="108" w:type="dxa"/>
          </w:tblCellMar>
        </w:tblPrEx>
        <w:trPr>
          <w:trHeight w:val="898"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DNS代理</w:t>
            </w: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支持IPv4的DNS代理功能，即从指定的入接口或源ISP接收到的DNS解析请求，设备可根据自定义的IP、域名对应关系，代理DNS服务器返回查询结果</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873"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支持出站的DNS代理功能，支持在不更改内网终端设备DNS服务器地址设置的情况下，将DNS解析请求发送至指定的DNS服务器，并代理原DNS服务器返回解析结果</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873"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支持DDNS功能，支持Oray向日葵、Pubyun公云、Noip、Changeip提供的DDNS服务，将动态获取的IP地址映射为固定的域名（投标文件需提供能够体现上述功能配置选项及支持)</w:t>
            </w:r>
            <w:r>
              <w:rPr>
                <w:rFonts w:hint="eastAsia" w:ascii="宋体" w:hAnsi="宋体" w:cs="宋体"/>
                <w:b/>
                <w:bCs/>
                <w:color w:val="000000"/>
                <w:kern w:val="0"/>
                <w:sz w:val="24"/>
              </w:rPr>
              <w:t>（投标文件需要提供能够体现上述功能及配置选项、DDNS服务商的截图）</w:t>
            </w:r>
          </w:p>
        </w:tc>
      </w:tr>
      <w:tr>
        <w:tblPrEx>
          <w:tblCellMar>
            <w:top w:w="0" w:type="dxa"/>
            <w:left w:w="108" w:type="dxa"/>
            <w:bottom w:w="0" w:type="dxa"/>
            <w:right w:w="108" w:type="dxa"/>
          </w:tblCellMar>
        </w:tblPrEx>
        <w:trPr>
          <w:trHeight w:val="1066"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支持DNS代理策略功能，支持设置入接口、源地址、目的地址、域名等信息配置代理策略，同时支持手动选择代理或不代理功能，方便灵活根据业务需求调整代理策略（投标文件需提供能够体现上述功能配置选项及支持)</w:t>
            </w:r>
            <w:r>
              <w:rPr>
                <w:rFonts w:hint="eastAsia" w:ascii="宋体" w:hAnsi="宋体" w:cs="宋体"/>
                <w:b/>
                <w:bCs/>
                <w:color w:val="000000"/>
                <w:kern w:val="0"/>
                <w:sz w:val="24"/>
              </w:rPr>
              <w:t>（投标文件需要提供能够体现上述功能及配置选项、DDNS服务商的截图）</w:t>
            </w:r>
          </w:p>
        </w:tc>
      </w:tr>
      <w:tr>
        <w:tblPrEx>
          <w:tblCellMar>
            <w:top w:w="0" w:type="dxa"/>
            <w:left w:w="108" w:type="dxa"/>
            <w:bottom w:w="0" w:type="dxa"/>
            <w:right w:w="108" w:type="dxa"/>
          </w:tblCellMar>
        </w:tblPrEx>
        <w:trPr>
          <w:trHeight w:val="585"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IPv6支持</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所投产品必须设备接口支持配置IPv6地址，并可使用IPv6地址管理设备；支持IPv6手动及自动的IP/MAC探测及绑定；</w:t>
            </w:r>
          </w:p>
        </w:tc>
      </w:tr>
      <w:tr>
        <w:tblPrEx>
          <w:tblCellMar>
            <w:top w:w="0" w:type="dxa"/>
            <w:left w:w="108" w:type="dxa"/>
            <w:bottom w:w="0" w:type="dxa"/>
            <w:right w:w="108" w:type="dxa"/>
          </w:tblCellMar>
        </w:tblPrEx>
        <w:trPr>
          <w:trHeight w:val="581"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所投产品必须支持IPv6下静态路由及策略路由、动态路由，动态路由应包括RIPng、OSPFv3、BGP4+</w:t>
            </w:r>
          </w:p>
        </w:tc>
      </w:tr>
      <w:tr>
        <w:tblPrEx>
          <w:tblCellMar>
            <w:top w:w="0" w:type="dxa"/>
            <w:left w:w="108" w:type="dxa"/>
            <w:bottom w:w="0" w:type="dxa"/>
            <w:right w:w="108" w:type="dxa"/>
          </w:tblCellMar>
        </w:tblPrEx>
        <w:trPr>
          <w:trHeight w:val="581"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所投产品必须支持NAT64，NAT66、NAT-PT等种IPv4/v6过渡技术，支持针对ICMPv6以及IPv6扩展头防护功能。</w:t>
            </w:r>
          </w:p>
        </w:tc>
      </w:tr>
      <w:tr>
        <w:tblPrEx>
          <w:tblCellMar>
            <w:top w:w="0" w:type="dxa"/>
            <w:left w:w="108" w:type="dxa"/>
            <w:bottom w:w="0" w:type="dxa"/>
            <w:right w:w="108" w:type="dxa"/>
          </w:tblCellMar>
        </w:tblPrEx>
        <w:trPr>
          <w:trHeight w:val="97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所投产品必须支持DNS64功能；支持IPv6入站的DNS代理功能，即从指定的入接口或源ISP接收到的DNS解析请求，设备可根据自定义的IP、域名对应关系，代理DNS服务器返回查询结果</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58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所投产品必须支持配置基于IPv6地址的安全策略，并在一条策略中可同时启用入侵防御、反病毒、URL过滤、应用识别、反间谍软件等安全功能；</w:t>
            </w:r>
          </w:p>
        </w:tc>
      </w:tr>
      <w:tr>
        <w:tblPrEx>
          <w:tblCellMar>
            <w:top w:w="0" w:type="dxa"/>
            <w:left w:w="108" w:type="dxa"/>
            <w:bottom w:w="0" w:type="dxa"/>
            <w:right w:w="108" w:type="dxa"/>
          </w:tblCellMar>
        </w:tblPrEx>
        <w:trPr>
          <w:trHeight w:val="1161"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所投产品必须支持针对IPv6流量通过HTTP、HTTPS实现Web认证，用户身份信息可存储在本地或Active Directory\Radius\TACACS+\POP3等第三方服务器；通过HTTPS实现Web认证必须支持使用本地CA颁发的证书同时使用证书验证客户端身份</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771"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所投产品必须支持DS-Lite CPE B4功能，支持成为b4或aftr角色，支持从DHCPv6服务器或手动方式获取AFTR参数</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1161" w:hRule="atLeast"/>
          <w:jc w:val="center"/>
        </w:trPr>
        <w:tc>
          <w:tcPr>
            <w:tcW w:w="1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高可靠性</w:t>
            </w: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路由模式、透明模式的HA高可靠性部署，可工作于主备、主主模式，会话、用户、配置可实时同步；HA高可靠性部署支持接口联动，某个端口失效（DOWN），属于同一接口组中其他端口都会进入失效状态（DOWN）；HA高可靠性部署支持配置接口权重；支持链路探测</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873"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虚拟防火墙功能</w:t>
            </w: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所投产品必须支持将物理防火墙资源，如会话数、安全策略数、源NAT数、目的NAT数，日志存储数量以保留值及最大值的形式自动分配。</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644"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所投产品必须支持虚拟防火墙逻辑接口，可以不占用物理网口的情况下实现虚拟系统之间的相互连接、访问</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873"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所投产品必须支持对虚系统进行系统配置，包括管理设定、管理主机、证书管理、配置文件导入导出、日志配置；虚系统管理员可分权管理</w:t>
            </w:r>
            <w:r>
              <w:rPr>
                <w:rFonts w:hint="eastAsia" w:ascii="宋体" w:hAnsi="宋体" w:cs="宋体"/>
                <w:b/>
                <w:bCs/>
                <w:color w:val="000000"/>
                <w:kern w:val="0"/>
                <w:sz w:val="24"/>
              </w:rPr>
              <w:t>（投标文件需要提供能够体现上述功能及配置选项的截图</w:t>
            </w: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873"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所投产品必须支持在虚系统内独立配置病毒防护、漏洞利用防护、间谍软件防护、URL过滤、文件过滤、内容过滤、邮件过滤、行为管控等安全功能。并可支持对本虚系统内产生的日志进行独立审计；</w:t>
            </w:r>
            <w:r>
              <w:rPr>
                <w:rFonts w:hint="eastAsia" w:ascii="宋体" w:hAnsi="宋体" w:cs="宋体"/>
                <w:b/>
                <w:bCs/>
                <w:color w:val="000000"/>
                <w:kern w:val="0"/>
                <w:sz w:val="24"/>
              </w:rPr>
              <w:t>（投标文件需要提供能够体现上述功能及配置选项的截图）</w:t>
            </w:r>
          </w:p>
        </w:tc>
      </w:tr>
      <w:tr>
        <w:trPr>
          <w:trHeight w:val="924"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访问控制</w:t>
            </w: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所投产品必须支持基于源安全域、目的安全域、源用户、源地址、源地区、目的地址、目的地区、服务、应用、隧道、时间、VLAN等多种方式进行访问控制，并支持地理区域对象的导入以及重复策略的检查</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924"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所投产品比如支持基于IPv4/v6地址、应用的会话限制，限制动作包每IP新建、每IP并发、所有IP新建、所有IP并发，且可以基于安全域指定限制方向</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924"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命中时间分析和安全策略推荐。命中时间分析展示被命中的安全策略的名称、状态、命中数、策略创建时间、首次命中时间和最近命中时间；安全策略推荐定可以指定策略流量，分析后自动生成源地址精度更高的安全策略。</w:t>
            </w:r>
          </w:p>
        </w:tc>
      </w:tr>
      <w:tr>
        <w:tblPrEx>
          <w:tblCellMar>
            <w:top w:w="0" w:type="dxa"/>
            <w:left w:w="108" w:type="dxa"/>
            <w:bottom w:w="0" w:type="dxa"/>
            <w:right w:w="108" w:type="dxa"/>
          </w:tblCellMar>
        </w:tblPrEx>
        <w:trPr>
          <w:trHeight w:val="1085"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应用识别与控制</w:t>
            </w: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应用识别，应用特征库包含的应用数量（非应用协议的规则总数）大于6000种，可深度识别每种应用的属性，为每种应用提供预定义的风险系数，并将应用基于类型、使用场景、数据传输、风险等级等特征分类</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809"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所投产品可直观展示不同风险等级的应用在1天（24小时）或一周（7天）内传输流量的绝对数值及占全网流量的百分比。</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585"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用户识别与认证</w:t>
            </w: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所投产品必须支持基于用户的访问控制，可与LDAP/Radius/证书/Active Directory/TACACS+/POP3等用户认证系统联动</w:t>
            </w:r>
            <w:r>
              <w:rPr>
                <w:rFonts w:hint="eastAsia" w:ascii="宋体" w:hAnsi="宋体" w:cs="宋体"/>
                <w:b/>
                <w:bCs/>
                <w:color w:val="000000"/>
                <w:kern w:val="0"/>
                <w:sz w:val="24"/>
              </w:rPr>
              <w:t>（投标文件需提供能够体现上述功能截图)</w:t>
            </w:r>
          </w:p>
        </w:tc>
      </w:tr>
      <w:tr>
        <w:tblPrEx>
          <w:tblCellMar>
            <w:top w:w="0" w:type="dxa"/>
            <w:left w:w="108" w:type="dxa"/>
            <w:bottom w:w="0" w:type="dxa"/>
            <w:right w:w="108" w:type="dxa"/>
          </w:tblCellMar>
        </w:tblPrEx>
        <w:trPr>
          <w:trHeight w:val="297"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所投产品必须支持802.1x认证，要求支持基于端口和MAC两种接入控制方式</w:t>
            </w:r>
          </w:p>
        </w:tc>
      </w:tr>
      <w:tr>
        <w:tblPrEx>
          <w:tblCellMar>
            <w:top w:w="0" w:type="dxa"/>
            <w:left w:w="108" w:type="dxa"/>
            <w:bottom w:w="0" w:type="dxa"/>
            <w:right w:w="108" w:type="dxa"/>
          </w:tblCellMar>
        </w:tblPrEx>
        <w:trPr>
          <w:trHeight w:val="58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支持二层MAC地址IP地址绑定；支持跨三层MAC地址IP地址绑定</w:t>
            </w:r>
            <w:r>
              <w:rPr>
                <w:rFonts w:hint="eastAsia" w:ascii="宋体" w:hAnsi="宋体" w:cs="宋体"/>
                <w:b/>
                <w:bCs/>
                <w:color w:val="000000"/>
                <w:kern w:val="0"/>
                <w:sz w:val="24"/>
              </w:rPr>
              <w:t>（投标文件需提供能够体现上述功能截图)</w:t>
            </w:r>
          </w:p>
        </w:tc>
      </w:tr>
      <w:tr>
        <w:tblPrEx>
          <w:tblCellMar>
            <w:top w:w="0" w:type="dxa"/>
            <w:left w:w="108" w:type="dxa"/>
            <w:bottom w:w="0" w:type="dxa"/>
            <w:right w:w="108" w:type="dxa"/>
          </w:tblCellMar>
        </w:tblPrEx>
        <w:trPr>
          <w:trHeight w:val="585" w:hRule="atLeast"/>
          <w:jc w:val="center"/>
        </w:trPr>
        <w:tc>
          <w:tcPr>
            <w:tcW w:w="1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邮件过滤</w:t>
            </w: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所投产品必须支持基于关键字的接收、发送或双向Email发件人、收件人过滤，并支持自定义RLB服务器地址配置，并可结合IP黑名单或白名单</w:t>
            </w:r>
          </w:p>
        </w:tc>
      </w:tr>
      <w:tr>
        <w:tblPrEx>
          <w:tblCellMar>
            <w:top w:w="0" w:type="dxa"/>
            <w:left w:w="108" w:type="dxa"/>
            <w:bottom w:w="0" w:type="dxa"/>
            <w:right w:w="108" w:type="dxa"/>
          </w:tblCellMar>
        </w:tblPrEx>
        <w:trPr>
          <w:trHeight w:val="903"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文件过滤</w:t>
            </w: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所投产品必须支持对应用的文件传输行为进行上传、下载、双向的文件类型过滤，应用至少包含即时通讯、常用协议、文件共享、论坛、博客、网页邮件五种分类；</w:t>
            </w:r>
            <w:r>
              <w:rPr>
                <w:rFonts w:hint="eastAsia" w:ascii="宋体" w:hAnsi="宋体" w:cs="宋体"/>
                <w:b/>
                <w:bCs/>
                <w:color w:val="000000"/>
                <w:kern w:val="0"/>
                <w:sz w:val="24"/>
              </w:rPr>
              <w:t>（投标文件需提供支持的应用分类和对应的设备配置截图）</w:t>
            </w:r>
          </w:p>
        </w:tc>
      </w:tr>
      <w:tr>
        <w:tblPrEx>
          <w:tblCellMar>
            <w:top w:w="0" w:type="dxa"/>
            <w:left w:w="108" w:type="dxa"/>
            <w:bottom w:w="0" w:type="dxa"/>
            <w:right w:w="108" w:type="dxa"/>
          </w:tblCellMar>
        </w:tblPrEx>
        <w:trPr>
          <w:trHeight w:val="122"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上传、下载、双向的文件内容过滤；内容过滤支持手工及文件批量导入两种方式进行敏感信息定义；内容过滤至少支持html、doc、docx、xls、xlsx、ppt、pptx、chm、7z等30种常见文件类型；文件类型识别基于文件特征而非扩展名，更改文件扩展名后仍可有效识别</w:t>
            </w:r>
            <w:r>
              <w:rPr>
                <w:rFonts w:hint="eastAsia" w:ascii="宋体" w:hAnsi="宋体" w:cs="宋体"/>
                <w:b/>
                <w:bCs/>
                <w:color w:val="000000"/>
                <w:kern w:val="0"/>
                <w:sz w:val="24"/>
              </w:rPr>
              <w:t>（投标文件需提供支持的文件类型，敏感信息定义方式及对应的设备配置截图）</w:t>
            </w:r>
          </w:p>
        </w:tc>
      </w:tr>
      <w:tr>
        <w:tblPrEx>
          <w:tblCellMar>
            <w:top w:w="0" w:type="dxa"/>
            <w:left w:w="108" w:type="dxa"/>
            <w:bottom w:w="0" w:type="dxa"/>
            <w:right w:w="108" w:type="dxa"/>
          </w:tblCellMar>
        </w:tblPrEx>
        <w:trPr>
          <w:trHeight w:val="873"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流量管理</w:t>
            </w: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所投产品必须支持多调度类相互嵌套最大5级的带宽管理设置。支持设置每IP最大或最小带宽，支持对每IP进行带宽配额管理，可通过优先级实现多应用的差分服务，并支持对剩余带宽进行基于优先级的动态分配。</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58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支持配置基于IP、用户、应用的流量管理规则，且至少支持对3000种应用定制流量管理规则</w:t>
            </w:r>
          </w:p>
        </w:tc>
      </w:tr>
      <w:tr>
        <w:tblPrEx>
          <w:tblCellMar>
            <w:top w:w="0" w:type="dxa"/>
            <w:left w:w="108" w:type="dxa"/>
            <w:bottom w:w="0" w:type="dxa"/>
            <w:right w:w="108" w:type="dxa"/>
          </w:tblCellMar>
        </w:tblPrEx>
        <w:trPr>
          <w:trHeight w:val="802" w:hRule="atLeast"/>
          <w:jc w:val="center"/>
        </w:trPr>
        <w:tc>
          <w:tcPr>
            <w:tcW w:w="1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共享上网检测</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sz w:val="24"/>
              </w:rPr>
            </w:pPr>
            <w:r>
              <w:rPr>
                <w:rFonts w:hint="eastAsia" w:ascii="宋体" w:hAnsi="宋体" w:cs="宋体"/>
                <w:kern w:val="0"/>
                <w:sz w:val="24"/>
              </w:rPr>
              <w:t>所投产品必须支持共享上网检测功能，支持共享接入检测和共享接入管控功能，可以通过设置管控地址和例外地址优化管控功能，同时支持阻断或告警动作</w:t>
            </w:r>
            <w:r>
              <w:rPr>
                <w:rFonts w:hint="eastAsia" w:ascii="宋体" w:hAnsi="宋体" w:cs="宋体"/>
                <w:b/>
                <w:bCs/>
                <w:kern w:val="0"/>
                <w:sz w:val="24"/>
              </w:rPr>
              <w:t>（投标文件需要提供能够体现上述功能及配置选项的截图）</w:t>
            </w:r>
          </w:p>
        </w:tc>
      </w:tr>
      <w:tr>
        <w:tblPrEx>
          <w:tblCellMar>
            <w:top w:w="0" w:type="dxa"/>
            <w:left w:w="108" w:type="dxa"/>
            <w:bottom w:w="0" w:type="dxa"/>
            <w:right w:w="108" w:type="dxa"/>
          </w:tblCellMar>
        </w:tblPrEx>
        <w:trPr>
          <w:trHeight w:val="555"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服务链管理</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sz w:val="24"/>
              </w:rPr>
            </w:pPr>
            <w:r>
              <w:rPr>
                <w:rFonts w:hint="eastAsia" w:ascii="宋体" w:hAnsi="宋体" w:cs="宋体"/>
                <w:kern w:val="0"/>
                <w:sz w:val="24"/>
              </w:rPr>
              <w:t>所投产品支持灵活的服务链编排功能，支持串接链和旁路链，支持网元组的方向和位置设置。（投标文件需要提供能够体现上述功能及配置选项的截图）</w:t>
            </w:r>
          </w:p>
        </w:tc>
      </w:tr>
      <w:tr>
        <w:tblPrEx>
          <w:tblCellMar>
            <w:top w:w="0" w:type="dxa"/>
            <w:left w:w="108" w:type="dxa"/>
            <w:bottom w:w="0" w:type="dxa"/>
            <w:right w:w="108" w:type="dxa"/>
          </w:tblCellMar>
        </w:tblPrEx>
        <w:trPr>
          <w:trHeight w:val="350"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sz w:val="24"/>
              </w:rPr>
            </w:pPr>
            <w:r>
              <w:rPr>
                <w:rFonts w:hint="eastAsia" w:ascii="宋体" w:hAnsi="宋体" w:cs="宋体"/>
                <w:kern w:val="0"/>
                <w:sz w:val="24"/>
              </w:rPr>
              <w:t>所投产品支持添加、编辑、删除串接链，旁路链。</w:t>
            </w:r>
          </w:p>
        </w:tc>
      </w:tr>
      <w:tr>
        <w:tblPrEx>
          <w:tblCellMar>
            <w:top w:w="0" w:type="dxa"/>
            <w:left w:w="108" w:type="dxa"/>
            <w:bottom w:w="0" w:type="dxa"/>
            <w:right w:w="108" w:type="dxa"/>
          </w:tblCellMar>
        </w:tblPrEx>
        <w:trPr>
          <w:trHeight w:val="555"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引流策略</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sz w:val="24"/>
              </w:rPr>
            </w:pPr>
            <w:r>
              <w:rPr>
                <w:rFonts w:hint="eastAsia" w:ascii="宋体" w:hAnsi="宋体" w:cs="宋体"/>
                <w:kern w:val="0"/>
                <w:sz w:val="24"/>
              </w:rPr>
              <w:t>所投产品支持引流策略的添加、删除、调序、清除命中数、刷新功能；支持引流策略的启用和禁用功能。</w:t>
            </w:r>
          </w:p>
        </w:tc>
      </w:tr>
      <w:tr>
        <w:tblPrEx>
          <w:tblCellMar>
            <w:top w:w="0" w:type="dxa"/>
            <w:left w:w="108" w:type="dxa"/>
            <w:bottom w:w="0" w:type="dxa"/>
            <w:right w:w="108" w:type="dxa"/>
          </w:tblCellMar>
        </w:tblPrEx>
        <w:trPr>
          <w:trHeight w:val="953"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sz w:val="24"/>
              </w:rPr>
            </w:pPr>
            <w:r>
              <w:rPr>
                <w:rFonts w:hint="eastAsia" w:ascii="宋体" w:hAnsi="宋体" w:cs="宋体"/>
                <w:kern w:val="0"/>
                <w:sz w:val="24"/>
              </w:rPr>
              <w:t>所投产品支持灵活的细粒度引流策略，可基于源安全域、目的安全域、源用户、源地址、目的地址、服务、VLAN、服务链、流量方向（内网到外网/外网到内网）的引流策略，并详细记录日志。（投标文件需要提供能够体现上述功能及配置选项的截图）</w:t>
            </w:r>
          </w:p>
        </w:tc>
      </w:tr>
      <w:tr>
        <w:tblPrEx>
          <w:tblCellMar>
            <w:top w:w="0" w:type="dxa"/>
            <w:left w:w="108" w:type="dxa"/>
            <w:bottom w:w="0" w:type="dxa"/>
            <w:right w:w="108" w:type="dxa"/>
          </w:tblCellMar>
        </w:tblPrEx>
        <w:trPr>
          <w:trHeight w:val="555" w:hRule="atLeast"/>
          <w:jc w:val="center"/>
        </w:trPr>
        <w:tc>
          <w:tcPr>
            <w:tcW w:w="1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编排流量监控</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sz w:val="24"/>
              </w:rPr>
            </w:pPr>
            <w:r>
              <w:rPr>
                <w:rFonts w:hint="eastAsia" w:ascii="宋体" w:hAnsi="宋体" w:cs="宋体"/>
                <w:kern w:val="0"/>
                <w:sz w:val="24"/>
              </w:rPr>
              <w:t>所投产品支持对编排的流量进行监控，至少能从网元组、引流策略两个维度对编排流量监控统计（投标文件需要提供能够体现上述功能及配置选项的截图）</w:t>
            </w:r>
          </w:p>
        </w:tc>
      </w:tr>
      <w:tr>
        <w:tblPrEx>
          <w:tblCellMar>
            <w:top w:w="0" w:type="dxa"/>
            <w:left w:w="108" w:type="dxa"/>
            <w:bottom w:w="0" w:type="dxa"/>
            <w:right w:w="108" w:type="dxa"/>
          </w:tblCellMar>
        </w:tblPrEx>
        <w:trPr>
          <w:trHeight w:val="1432"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网络攻击防护</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sz w:val="24"/>
              </w:rPr>
            </w:pPr>
            <w:r>
              <w:rPr>
                <w:rFonts w:hint="eastAsia" w:ascii="宋体" w:hAnsi="宋体" w:cs="宋体"/>
                <w:kern w:val="0"/>
                <w:sz w:val="24"/>
              </w:rPr>
              <w:t>所投产品必须支持基于不同安全区域防御SYN Flood、UDP  Flood、ICMP  Flood、IP  Flood、DNS Flood、HTTP Flood、NTP Query Flood 、NTP Reply Flood 和SIP Flood 攻击，并支持警告、丢弃、普通防护（首包丢弃）、增强防护（TC反弹技术）、授权服务器防护（NS重定向）、普通防护（自动重定向）、增强防护（手工确认）等多种防护措施</w:t>
            </w:r>
            <w:r>
              <w:rPr>
                <w:rFonts w:hint="eastAsia" w:ascii="宋体" w:hAnsi="宋体" w:cs="宋体"/>
                <w:b/>
                <w:bCs/>
                <w:kern w:val="0"/>
                <w:sz w:val="24"/>
              </w:rPr>
              <w:t>（投标文件需要提供能够体现上述功能及配置选项的截图）</w:t>
            </w:r>
          </w:p>
        </w:tc>
      </w:tr>
      <w:tr>
        <w:tblPrEx>
          <w:tblCellMar>
            <w:top w:w="0" w:type="dxa"/>
            <w:left w:w="108" w:type="dxa"/>
            <w:bottom w:w="0" w:type="dxa"/>
            <w:right w:w="108" w:type="dxa"/>
          </w:tblCellMar>
        </w:tblPrEx>
        <w:trPr>
          <w:trHeight w:val="83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所投产品必须支持可配置阈值的基于安全域或基于二层接口局域网广播防护，防止局域网内广播和多播数据包泛滥</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847"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所投产品必须支持DHCP协议防护；支持手动定义可信DHCP服务器IPv4和基于阈值限制DHCP请求传输速率</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116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所投产品必须支持基于安全区域的异常包攻击防御，异常包攻击类型至少包括Ping of Death、Teardrop、IP选项、TCP异常、Smurf、Fraggle、Land、Winnuke、DNS异常、IP分片等；并可在设备页面显示每种攻击类型的丢包统计结果</w:t>
            </w:r>
            <w:r>
              <w:rPr>
                <w:rFonts w:hint="eastAsia" w:ascii="宋体" w:hAnsi="宋体" w:cs="宋体"/>
                <w:b/>
                <w:bCs/>
                <w:color w:val="000000"/>
                <w:kern w:val="0"/>
                <w:sz w:val="24"/>
              </w:rPr>
              <w:t>（投标文件需要提供能够体现上述攻击防护类型及丢包统计结果的截图</w:t>
            </w: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543"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所投产品必须支持防御基于安全域的IP地址欺骗攻击，指定IP或网段必须从特定安全域流入</w:t>
            </w:r>
          </w:p>
        </w:tc>
      </w:tr>
      <w:tr>
        <w:tblPrEx>
          <w:tblCellMar>
            <w:top w:w="0" w:type="dxa"/>
            <w:left w:w="108" w:type="dxa"/>
            <w:bottom w:w="0" w:type="dxa"/>
            <w:right w:w="108" w:type="dxa"/>
          </w:tblCellMar>
        </w:tblPrEx>
        <w:trPr>
          <w:trHeight w:val="585"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kern w:val="0"/>
                <w:sz w:val="24"/>
              </w:rPr>
              <w:t>★</w:t>
            </w:r>
            <w:r>
              <w:rPr>
                <w:rFonts w:hint="eastAsia" w:ascii="宋体" w:hAnsi="宋体" w:cs="宋体"/>
                <w:color w:val="000000"/>
                <w:kern w:val="0"/>
                <w:sz w:val="24"/>
              </w:rPr>
              <w:t>病毒防护</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所投产品必须能够对HTTP/FTP/POP3/SMTP/IMAP/SMB六种协议进行病毒查杀；本地病毒库规模大于3000万</w:t>
            </w:r>
          </w:p>
        </w:tc>
      </w:tr>
      <w:tr>
        <w:tblPrEx>
          <w:tblCellMar>
            <w:top w:w="0" w:type="dxa"/>
            <w:left w:w="108" w:type="dxa"/>
            <w:bottom w:w="0" w:type="dxa"/>
            <w:right w:w="108" w:type="dxa"/>
          </w:tblCellMar>
        </w:tblPrEx>
        <w:trPr>
          <w:trHeight w:val="349"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所投产品必须支持对最多16级的压缩文件进行解压查杀</w:t>
            </w:r>
          </w:p>
        </w:tc>
      </w:tr>
      <w:tr>
        <w:tblPrEx>
          <w:tblCellMar>
            <w:top w:w="0" w:type="dxa"/>
            <w:left w:w="108" w:type="dxa"/>
            <w:bottom w:w="0" w:type="dxa"/>
            <w:right w:w="108" w:type="dxa"/>
          </w:tblCellMar>
        </w:tblPrEx>
        <w:trPr>
          <w:trHeight w:val="568"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vMerge w:val="restart"/>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所投产品必须支持基于MD5的自定义病毒签名；支持设置例外特征，对特定的病毒特征不进行查杀</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420"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r>
      <w:tr>
        <w:trPr>
          <w:trHeight w:val="1711"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kern w:val="0"/>
                <w:sz w:val="24"/>
              </w:rPr>
              <w:t>★</w:t>
            </w:r>
            <w:r>
              <w:rPr>
                <w:rFonts w:hint="eastAsia" w:ascii="宋体" w:hAnsi="宋体" w:cs="宋体"/>
                <w:color w:val="000000"/>
                <w:kern w:val="0"/>
                <w:sz w:val="24"/>
              </w:rPr>
              <w:t>入侵防御</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漏洞防护功能，同时将漏洞防护特征库分类，至少包括缓冲区溢出、跨站脚本、拒绝服务、恶意扫描、SQL注入、WEB攻击等六种分类；漏洞防护支持日志、阻断、放行、重置等执行动作,可批量设置针对某一分类或全部攻击签名的执行动作；支持基于FTP、HTTP、IMAP、OTHER_APP、POP3、SMB、SMTP等应用协议的漏洞防护</w:t>
            </w:r>
            <w:r>
              <w:rPr>
                <w:rFonts w:hint="eastAsia" w:ascii="宋体" w:hAnsi="宋体" w:cs="宋体"/>
                <w:b/>
                <w:bCs/>
                <w:color w:val="000000"/>
                <w:kern w:val="0"/>
                <w:sz w:val="24"/>
              </w:rPr>
              <w:t>（投标文件需要提供能够体现漏洞防护特征库分类信息、支持的执行动作以及支持的应用协议的截图）</w:t>
            </w:r>
          </w:p>
        </w:tc>
      </w:tr>
      <w:tr>
        <w:tblPrEx>
          <w:tblCellMar>
            <w:top w:w="0" w:type="dxa"/>
            <w:left w:w="108" w:type="dxa"/>
            <w:bottom w:w="0" w:type="dxa"/>
            <w:right w:w="108" w:type="dxa"/>
          </w:tblCellMar>
        </w:tblPrEx>
        <w:trPr>
          <w:trHeight w:val="87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sz w:val="24"/>
              </w:rPr>
            </w:pPr>
            <w:r>
              <w:rPr>
                <w:rFonts w:hint="eastAsia" w:ascii="宋体" w:hAnsi="宋体" w:cs="宋体"/>
                <w:kern w:val="0"/>
                <w:sz w:val="24"/>
              </w:rPr>
              <w:t>所投产品必须支持在设备漏洞防护特征库直接查阅攻击的名称、CVEID、CNNVDID、CWEID、严重性、影响的平台、类型、描述、解决方案建议等详细信息；</w:t>
            </w:r>
            <w:r>
              <w:rPr>
                <w:rFonts w:hint="eastAsia" w:ascii="宋体" w:hAnsi="宋体" w:cs="宋体"/>
                <w:b/>
                <w:bCs/>
                <w:kern w:val="0"/>
                <w:sz w:val="24"/>
              </w:rPr>
              <w:t>（投标文件需要提供能够在设备上显示以上内容详细信息的截图）</w:t>
            </w:r>
          </w:p>
        </w:tc>
      </w:tr>
      <w:tr>
        <w:tblPrEx>
          <w:tblCellMar>
            <w:top w:w="0" w:type="dxa"/>
            <w:left w:w="108" w:type="dxa"/>
            <w:bottom w:w="0" w:type="dxa"/>
            <w:right w:w="108" w:type="dxa"/>
          </w:tblCellMar>
        </w:tblPrEx>
        <w:trPr>
          <w:trHeight w:val="1432"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sz w:val="24"/>
              </w:rPr>
            </w:pPr>
            <w:r>
              <w:rPr>
                <w:rFonts w:hint="eastAsia" w:ascii="宋体" w:hAnsi="宋体" w:cs="宋体"/>
                <w:kern w:val="0"/>
                <w:sz w:val="24"/>
              </w:rPr>
              <w:t>所投产品的漏洞防护特征库及间谍软件库包含高危漏洞攻击特征，至少包括“永恒之蓝”、“震网三代”、“暗云3”、“Struts”、“Struts2”、“Xshell后门代码”以及对应的攻击的名称、CVEID、CNNVDID、CWEID、严重性、影响的平台、类型、描述、解决方案建议等（CVEID、CNNDID、CWEID等信息在漏洞攻击特征中体现）详细信息；</w:t>
            </w:r>
            <w:r>
              <w:rPr>
                <w:rFonts w:hint="eastAsia" w:ascii="宋体" w:hAnsi="宋体" w:cs="宋体"/>
                <w:b/>
                <w:bCs/>
                <w:kern w:val="0"/>
                <w:sz w:val="24"/>
              </w:rPr>
              <w:t>（投标文件需要提供设备包含上述所有高危漏洞攻击的特征及对应详细信息的截图）</w:t>
            </w:r>
          </w:p>
        </w:tc>
      </w:tr>
      <w:tr>
        <w:tblPrEx>
          <w:tblCellMar>
            <w:top w:w="0" w:type="dxa"/>
            <w:left w:w="108" w:type="dxa"/>
            <w:bottom w:w="0" w:type="dxa"/>
            <w:right w:w="108" w:type="dxa"/>
          </w:tblCellMar>
        </w:tblPrEx>
        <w:trPr>
          <w:trHeight w:val="1750"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间谍软件防护功能，同时将间谍软件特征库分类，至少包括木马后门、病毒蠕虫、僵尸网络等三种分类;支持在防火墙间谍软件签名库直接查阅攻击的名称、严重性、描述等信息；间谍软件防护支持日志、阻断、放行、重置等执行动作,可批量设置针对某一分类或全部攻击签名的执行动作；支持基于FTP、HTTP、IMAP、OTHER_APP、POP3、SMB、SMTP等应用协议的间谍软件防护</w:t>
            </w:r>
            <w:r>
              <w:rPr>
                <w:rFonts w:hint="eastAsia" w:ascii="宋体" w:hAnsi="宋体" w:cs="宋体"/>
                <w:b/>
                <w:bCs/>
                <w:color w:val="000000"/>
                <w:kern w:val="0"/>
                <w:sz w:val="24"/>
              </w:rPr>
              <w:t>（投标文件需提供能够体现上述功能及配置选项截图）</w:t>
            </w:r>
          </w:p>
        </w:tc>
      </w:tr>
      <w:tr>
        <w:tblPrEx>
          <w:tblCellMar>
            <w:top w:w="0" w:type="dxa"/>
            <w:left w:w="108" w:type="dxa"/>
            <w:bottom w:w="0" w:type="dxa"/>
            <w:right w:w="108" w:type="dxa"/>
          </w:tblCellMar>
        </w:tblPrEx>
        <w:trPr>
          <w:trHeight w:val="1161"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自定义TCP、UDP、HTTP协议的漏洞特征，漏洞特征可通过多个字段以文本或正则表达式的形式进行有序和无序匹配，并可自定义漏洞的源、目的端口范围；同时可标识自定义漏洞的CVE编号或CNNVD编号。</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1051"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所投产品必须支持自定义基于TCP、UDP、HTTP协议的间谍软件特征。间谍软件特征可通过多个字段以文本或正则表达式的形式进行有序和无序匹配；并可自定义间谍软件的源、目的端口范围</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1051" w:hRule="atLeast"/>
          <w:jc w:val="center"/>
        </w:trPr>
        <w:tc>
          <w:tcPr>
            <w:tcW w:w="1655" w:type="dxa"/>
            <w:tcBorders>
              <w:top w:val="single" w:color="000000" w:sz="4" w:space="0"/>
              <w:left w:val="single" w:color="000000" w:sz="4" w:space="0"/>
              <w:bottom w:val="nil"/>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kern w:val="0"/>
                <w:sz w:val="24"/>
              </w:rPr>
              <w:t>★</w:t>
            </w:r>
            <w:r>
              <w:rPr>
                <w:rFonts w:hint="eastAsia" w:ascii="宋体" w:hAnsi="宋体" w:cs="宋体"/>
                <w:color w:val="000000"/>
                <w:kern w:val="0"/>
                <w:sz w:val="24"/>
              </w:rPr>
              <w:t>WEB服务防护</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所投产品支持web服务防护（包含缓冲区溢出，跨站脚本，恶意扫描，web注入，SQL注入等），支持数据库服务防护，FTP服务防护，邮件服务防护等。</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1161"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IPSec VPN</w:t>
            </w: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所投产品必须支持支持IPSec VPN功能，支持基于主模式（Main Mode）、积极模式（Aggressive Mode）、国密三种协商模式建立的网关-网关加密隧道；支持本地CA并可为参与IPSec VPN隧道建立的设备颁发用于身份认证的证书</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352"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所投产品必须支持支持GRE隧道，支持GRE over IPSec VPN</w:t>
            </w:r>
          </w:p>
        </w:tc>
      </w:tr>
      <w:tr>
        <w:tblPrEx>
          <w:tblCellMar>
            <w:top w:w="0" w:type="dxa"/>
            <w:left w:w="108" w:type="dxa"/>
            <w:bottom w:w="0" w:type="dxa"/>
            <w:right w:w="108" w:type="dxa"/>
          </w:tblCellMar>
        </w:tblPrEx>
        <w:trPr>
          <w:trHeight w:val="320"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所投产品的IPSec VPN功能必须支持无损数据压缩算法</w:t>
            </w:r>
          </w:p>
        </w:tc>
      </w:tr>
      <w:tr>
        <w:tblPrEx>
          <w:tblCellMar>
            <w:top w:w="0" w:type="dxa"/>
            <w:left w:w="108" w:type="dxa"/>
            <w:bottom w:w="0" w:type="dxa"/>
            <w:right w:w="108" w:type="dxa"/>
          </w:tblCellMar>
        </w:tblPrEx>
        <w:trPr>
          <w:trHeight w:val="873"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其他VPN</w:t>
            </w: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所投产品必须支持L2TP、支持L2TP over IPSec、支持PPTP ，并支持本地认证以及LDAP/Radius/证书/Active Directory/TACACS+/POP3等第三方用户认证系统。支持客户端地址分配</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1627"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所投产品必须支持SSL VPN，支持使用SSL VPN客户端与防火墙建立SSL VPN加密隧道，支持对远程用户进行口令认证或证书认证，或证书认证+口令认证双因素；口令认证支持本地认证以及LDAP/Radius/证书/Active Directory/TACACS+/POP3等第三方用户认证系统；支持USB-key证书；支持本地CA并可为SSL VPN客户端颁发用于身份认证的证书；支持Windows客户端、安卓客户端、IOS客户端和MAC OS客户端。</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1254"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网络异常感知</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基于主机或威胁情报视图，统计网络中确认被入侵、攻破的主机数量，至少可查看被入侵、攻破的时间、威胁类别、情报来源、威胁简介、被入侵、攻破的主机IP、用户名、资产等信息；并对威胁情报发现的恶意主机执行自动阻断</w:t>
            </w:r>
            <w:r>
              <w:rPr>
                <w:rFonts w:hint="eastAsia" w:ascii="宋体" w:hAnsi="宋体" w:cs="宋体"/>
                <w:b/>
                <w:bCs/>
                <w:color w:val="000000"/>
                <w:kern w:val="0"/>
                <w:sz w:val="24"/>
              </w:rPr>
              <w:t>（投标文件需提供能够体现被入侵、攻破的主机状态的截图）</w:t>
            </w:r>
          </w:p>
        </w:tc>
      </w:tr>
      <w:tr>
        <w:tblPrEx>
          <w:tblCellMar>
            <w:top w:w="0" w:type="dxa"/>
            <w:left w:w="108" w:type="dxa"/>
            <w:bottom w:w="0" w:type="dxa"/>
            <w:right w:w="108" w:type="dxa"/>
          </w:tblCellMar>
        </w:tblPrEx>
        <w:trPr>
          <w:trHeight w:val="1187"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所投产品必须支持基于主机或威胁情报视图，统计网络中存在安全风险的主机数量以及对应的风险等级，至少可查看遭遇风险的时间、威胁类别、情报来源、威胁简介、失陷主机IP、用户名、资产等信息</w:t>
            </w:r>
            <w:r>
              <w:rPr>
                <w:rFonts w:hint="eastAsia" w:ascii="宋体" w:hAnsi="宋体" w:cs="宋体"/>
                <w:b/>
                <w:bCs/>
                <w:color w:val="000000"/>
                <w:kern w:val="0"/>
                <w:sz w:val="24"/>
              </w:rPr>
              <w:t>（投标文件需提供能够体现存在安全风险的主机数量以及对应风险等级的截图）</w:t>
            </w:r>
          </w:p>
        </w:tc>
      </w:tr>
      <w:tr>
        <w:tblPrEx>
          <w:tblCellMar>
            <w:top w:w="0" w:type="dxa"/>
            <w:left w:w="108" w:type="dxa"/>
            <w:bottom w:w="0" w:type="dxa"/>
            <w:right w:w="108" w:type="dxa"/>
          </w:tblCellMar>
        </w:tblPrEx>
        <w:trPr>
          <w:trHeight w:val="656"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所投产品必须支持本方案中配置的威胁感知设备协同，实现主机状态检测及告警；</w:t>
            </w:r>
            <w:r>
              <w:rPr>
                <w:rFonts w:hint="eastAsia" w:ascii="宋体" w:hAnsi="宋体" w:cs="宋体"/>
                <w:b/>
                <w:bCs/>
                <w:color w:val="000000"/>
                <w:kern w:val="0"/>
                <w:sz w:val="24"/>
              </w:rPr>
              <w:t>（投标文件需提供包含云端或本方案中配置的威胁感知设备的截图）</w:t>
            </w:r>
          </w:p>
        </w:tc>
      </w:tr>
      <w:tr>
        <w:tblPrEx>
          <w:tblCellMar>
            <w:top w:w="0" w:type="dxa"/>
            <w:left w:w="108" w:type="dxa"/>
            <w:bottom w:w="0" w:type="dxa"/>
            <w:right w:w="108" w:type="dxa"/>
          </w:tblCellMar>
        </w:tblPrEx>
        <w:trPr>
          <w:trHeight w:val="898"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所投产品必须支持统计网络内威胁事件的数量及对应的风险等级；支持一键跳转查看详情并自动显示关联日志；可基于网络连接、应用名称、威胁事件处置威胁事件；</w:t>
            </w:r>
            <w:r>
              <w:rPr>
                <w:rFonts w:hint="eastAsia" w:ascii="宋体" w:hAnsi="宋体" w:cs="宋体"/>
                <w:b/>
                <w:bCs/>
                <w:color w:val="000000"/>
                <w:kern w:val="0"/>
                <w:sz w:val="24"/>
              </w:rPr>
              <w:t>（投标文件需提供能够体现以上功能的截图）</w:t>
            </w:r>
          </w:p>
        </w:tc>
      </w:tr>
      <w:tr>
        <w:tblPrEx>
          <w:tblCellMar>
            <w:top w:w="0" w:type="dxa"/>
            <w:left w:w="108" w:type="dxa"/>
            <w:bottom w:w="0" w:type="dxa"/>
            <w:right w:w="108" w:type="dxa"/>
          </w:tblCellMar>
        </w:tblPrEx>
        <w:trPr>
          <w:trHeight w:val="898"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用户自定义重点URL分类和应用，并可基于定义的重点关注对象进行用户维度关联，并结合分析中心进行基于关联的用户/地址、URL分类、应用进行二次递进式深度分析，挖掘异常用户及异常网络行为。</w:t>
            </w:r>
            <w:r>
              <w:rPr>
                <w:rFonts w:hint="eastAsia" w:ascii="宋体" w:hAnsi="宋体" w:cs="宋体"/>
                <w:b/>
                <w:bCs/>
                <w:color w:val="000000"/>
                <w:kern w:val="0"/>
                <w:sz w:val="24"/>
              </w:rPr>
              <w:t>（投标文件需提供能够体现以上功能的设备截图）</w:t>
            </w:r>
          </w:p>
        </w:tc>
      </w:tr>
      <w:tr>
        <w:tblPrEx>
          <w:tblCellMar>
            <w:top w:w="0" w:type="dxa"/>
            <w:left w:w="108" w:type="dxa"/>
            <w:bottom w:w="0" w:type="dxa"/>
            <w:right w:w="108" w:type="dxa"/>
          </w:tblCellMar>
        </w:tblPrEx>
        <w:trPr>
          <w:trHeight w:val="873"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安全事件分析</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所投设备必须提供关联分析面板，可将Top应用、Top威胁、Top URL分类、Top源地址、Top目的地址等信息关联，并支持以任意元素于为过滤条件且不少于35个维度进行数据钻取，</w:t>
            </w:r>
            <w:r>
              <w:rPr>
                <w:rFonts w:hint="eastAsia" w:ascii="宋体" w:hAnsi="宋体" w:cs="宋体"/>
                <w:b/>
                <w:bCs/>
                <w:color w:val="000000"/>
                <w:kern w:val="0"/>
                <w:sz w:val="24"/>
              </w:rPr>
              <w:t>(投标文件需提供包含上述信息的关联分析面板截图)</w:t>
            </w:r>
          </w:p>
        </w:tc>
      </w:tr>
      <w:tr>
        <w:tblPrEx>
          <w:tblCellMar>
            <w:top w:w="0" w:type="dxa"/>
            <w:left w:w="108" w:type="dxa"/>
            <w:bottom w:w="0" w:type="dxa"/>
            <w:right w:w="108" w:type="dxa"/>
          </w:tblCellMar>
        </w:tblPrEx>
        <w:trPr>
          <w:trHeight w:val="58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所投设备必须支持基于网络活动，威胁活动、阻止活动等多维关联统计及分析，发现异常行为，</w:t>
            </w:r>
            <w:r>
              <w:rPr>
                <w:rFonts w:hint="eastAsia" w:ascii="宋体" w:hAnsi="宋体" w:cs="宋体"/>
                <w:b/>
                <w:bCs/>
                <w:color w:val="000000"/>
                <w:kern w:val="0"/>
                <w:sz w:val="24"/>
              </w:rPr>
              <w:t>(投标文件需提供包含上述信息的多维关联分析面板截图)</w:t>
            </w:r>
          </w:p>
        </w:tc>
      </w:tr>
      <w:tr>
        <w:tblPrEx>
          <w:tblCellMar>
            <w:top w:w="0" w:type="dxa"/>
            <w:left w:w="108" w:type="dxa"/>
            <w:bottom w:w="0" w:type="dxa"/>
            <w:right w:w="108" w:type="dxa"/>
          </w:tblCellMar>
        </w:tblPrEx>
        <w:trPr>
          <w:trHeight w:val="873"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所投设备必须提供关联的威胁事件日志，系统可自动将产生威胁事件的连接经过防病毒、防漏洞、防间谍软件、URL过滤、文件过滤等安全模块检查的日志集中显示，</w:t>
            </w:r>
            <w:r>
              <w:rPr>
                <w:rFonts w:hint="eastAsia" w:ascii="宋体" w:hAnsi="宋体" w:cs="宋体"/>
                <w:b/>
                <w:bCs/>
                <w:color w:val="000000"/>
                <w:kern w:val="0"/>
                <w:sz w:val="24"/>
              </w:rPr>
              <w:t>(投标文件需提供关联的威胁事件日志的截图)</w:t>
            </w:r>
          </w:p>
        </w:tc>
      </w:tr>
      <w:tr>
        <w:tblPrEx>
          <w:tblCellMar>
            <w:top w:w="0" w:type="dxa"/>
            <w:left w:w="108" w:type="dxa"/>
            <w:bottom w:w="0" w:type="dxa"/>
            <w:right w:w="108" w:type="dxa"/>
          </w:tblCellMar>
        </w:tblPrEx>
        <w:trPr>
          <w:trHeight w:val="1161"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设备必须支持自定义一个或多个过滤条件，防火墙上的全部日志进行模糊检索或指定条件的精确检索，快速定位特定目标当前行为是否存在异常，网络中是否存在异常等问题，并可记录一个或者多个自定义过滤条件历史。</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585"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策略与处置</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所投设备可在单条策略中启用病毒防护、入侵防御、网址过滤、文件过滤、文件内容过滤、终端过滤等安全功能选项。</w:t>
            </w:r>
            <w:r>
              <w:rPr>
                <w:rFonts w:hint="eastAsia" w:ascii="宋体" w:hAnsi="宋体" w:cs="宋体"/>
                <w:b/>
                <w:bCs/>
                <w:color w:val="000000"/>
                <w:kern w:val="0"/>
                <w:sz w:val="24"/>
              </w:rPr>
              <w:t>(投标文件需提供在单条策略中启用安全功能选项的截图)。</w:t>
            </w:r>
          </w:p>
        </w:tc>
      </w:tr>
      <w:tr>
        <w:tblPrEx>
          <w:tblCellMar>
            <w:top w:w="0" w:type="dxa"/>
            <w:left w:w="108" w:type="dxa"/>
            <w:bottom w:w="0" w:type="dxa"/>
            <w:right w:w="108" w:type="dxa"/>
          </w:tblCellMar>
        </w:tblPrEx>
        <w:trPr>
          <w:trHeight w:val="58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所投设备必须支持安全策略的快速检索及基于名称、地址、端口、协议多维度的高级策略检索，支持策略的复制、调序、查询</w:t>
            </w:r>
          </w:p>
        </w:tc>
      </w:tr>
      <w:tr>
        <w:tblPrEx>
          <w:tblCellMar>
            <w:top w:w="0" w:type="dxa"/>
            <w:left w:w="108" w:type="dxa"/>
            <w:bottom w:w="0" w:type="dxa"/>
            <w:right w:w="108" w:type="dxa"/>
          </w:tblCellMar>
        </w:tblPrEx>
        <w:trPr>
          <w:trHeight w:val="802"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所投产品必须支持基于受害主机的一键式阻断链接、记录日志等处置动作，处置周期至少包括1天、7天、30天、90天、永久等；</w:t>
            </w:r>
            <w:r>
              <w:rPr>
                <w:rFonts w:hint="eastAsia" w:ascii="宋体" w:hAnsi="宋体" w:cs="宋体"/>
                <w:b/>
                <w:bCs/>
                <w:color w:val="000000"/>
                <w:kern w:val="0"/>
                <w:sz w:val="24"/>
              </w:rPr>
              <w:t>(投标文件需提供能够体现上述功能及配置选项的截图)。</w:t>
            </w:r>
          </w:p>
        </w:tc>
      </w:tr>
      <w:tr>
        <w:tblPrEx>
          <w:tblCellMar>
            <w:top w:w="0" w:type="dxa"/>
            <w:left w:w="108" w:type="dxa"/>
            <w:bottom w:w="0" w:type="dxa"/>
            <w:right w:w="108" w:type="dxa"/>
          </w:tblCellMar>
        </w:tblPrEx>
        <w:trPr>
          <w:trHeight w:val="1234"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接收针对突发重大安全事件的“应急响应消息”，并至少在界面显示安全事件名称、类型、当前防护状态、处置状态以及相应的操作等信息；并可根据设备安全配置的变化动态显示应急响应的处理结果</w:t>
            </w:r>
            <w:r>
              <w:rPr>
                <w:rFonts w:hint="eastAsia" w:ascii="宋体" w:hAnsi="宋体" w:cs="宋体"/>
                <w:b/>
                <w:bCs/>
                <w:color w:val="000000"/>
                <w:kern w:val="0"/>
                <w:sz w:val="24"/>
              </w:rPr>
              <w:t>（投标文件需提供能够体现上述功能及配置选项截图）</w:t>
            </w:r>
          </w:p>
        </w:tc>
      </w:tr>
      <w:tr>
        <w:tblPrEx>
          <w:tblCellMar>
            <w:top w:w="0" w:type="dxa"/>
            <w:left w:w="108" w:type="dxa"/>
            <w:bottom w:w="0" w:type="dxa"/>
            <w:right w:w="108" w:type="dxa"/>
          </w:tblCellMar>
        </w:tblPrEx>
        <w:trPr>
          <w:trHeight w:val="916"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所投产品必须支持针对“应急响应消息”的手动或自动处置，处置方法至少包括基于漏洞的处置和基于威胁情报的处置</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720"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运维管理</w:t>
            </w: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所投产品必须支持双系统备份，且在系统切换中可实现配置的自动迁移；可记录不同时间点的历史配置文件</w:t>
            </w:r>
            <w:r>
              <w:rPr>
                <w:rFonts w:hint="eastAsia" w:ascii="宋体" w:hAnsi="宋体" w:cs="宋体"/>
                <w:b/>
                <w:bCs/>
                <w:color w:val="000000"/>
                <w:kern w:val="0"/>
                <w:sz w:val="24"/>
              </w:rPr>
              <w:t>（投标文件需提供历史配置文件＞2个设备截图）</w:t>
            </w:r>
          </w:p>
        </w:tc>
      </w:tr>
      <w:tr>
        <w:tblPrEx>
          <w:tblCellMar>
            <w:top w:w="0" w:type="dxa"/>
            <w:left w:w="108" w:type="dxa"/>
            <w:bottom w:w="0" w:type="dxa"/>
            <w:right w:w="108" w:type="dxa"/>
          </w:tblCellMar>
        </w:tblPrEx>
        <w:trPr>
          <w:trHeight w:val="1432"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所投产品必须支持三权分立管理 ，权限设置至少包括全部权限，仅具有策略变更权限和仅具有日志审计权限、仅具有账户配置权限、虚系统配置管理权限以及虚系统审计权限；并支持以读写、只读、无权限的方式自定义权限管理，权限管理的范围至少包括策略配置、对象配置、网络配置、系统配置、统计分析、威胁处置等</w:t>
            </w:r>
            <w:r>
              <w:rPr>
                <w:rFonts w:hint="eastAsia" w:ascii="宋体" w:hAnsi="宋体" w:cs="宋体"/>
                <w:b/>
                <w:bCs/>
                <w:color w:val="000000"/>
                <w:kern w:val="0"/>
                <w:sz w:val="24"/>
              </w:rPr>
              <w:t>（投标文件需提供能够体现上述功能及配置选项截图）</w:t>
            </w:r>
          </w:p>
        </w:tc>
      </w:tr>
      <w:tr>
        <w:tblPrEx>
          <w:tblCellMar>
            <w:top w:w="0" w:type="dxa"/>
            <w:left w:w="108" w:type="dxa"/>
            <w:bottom w:w="0" w:type="dxa"/>
            <w:right w:w="108" w:type="dxa"/>
          </w:tblCellMar>
        </w:tblPrEx>
        <w:trPr>
          <w:trHeight w:val="69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所投产品必须支持加密的WebUI和CLI管理，且支持网页命令行管理（WebUI中内嵌CLI管理界面），</w:t>
            </w:r>
            <w:r>
              <w:rPr>
                <w:rFonts w:hint="eastAsia" w:ascii="宋体" w:hAnsi="宋体" w:cs="宋体"/>
                <w:b/>
                <w:bCs/>
                <w:color w:val="000000"/>
                <w:kern w:val="0"/>
                <w:sz w:val="24"/>
              </w:rPr>
              <w:t>投标文件需提供WebUI内嵌CLI管理界面的设备截图</w:t>
            </w:r>
          </w:p>
        </w:tc>
      </w:tr>
      <w:tr>
        <w:tblPrEx>
          <w:tblCellMar>
            <w:top w:w="0" w:type="dxa"/>
            <w:left w:w="108" w:type="dxa"/>
            <w:bottom w:w="0" w:type="dxa"/>
            <w:right w:w="108" w:type="dxa"/>
          </w:tblCellMar>
        </w:tblPrEx>
        <w:trPr>
          <w:trHeight w:val="1343"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所投产品必须支持将告警信息以SNMP Trap、邮件、声音、短信等形式通知管理员，告警信息的范围至少包括配置变更、病毒事件、攻击事件、异常事件、</w:t>
            </w:r>
            <w:r>
              <w:rPr>
                <w:rFonts w:hint="eastAsia" w:ascii="宋体" w:hAnsi="宋体" w:cs="宋体"/>
                <w:kern w:val="0"/>
                <w:sz w:val="24"/>
              </w:rPr>
              <w:t>失陷主机告警、并发数告警</w:t>
            </w:r>
            <w:r>
              <w:rPr>
                <w:rFonts w:hint="eastAsia" w:ascii="宋体" w:hAnsi="宋体" w:cs="宋体"/>
                <w:color w:val="000000"/>
                <w:kern w:val="0"/>
                <w:sz w:val="24"/>
              </w:rPr>
              <w:t>、CPU利用率、内存利用率、硬盘利用率、接口带宽利用率、NAT端口池利用率等；</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1279"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将不同设备模块产生的不同重要性的日志发送至不同的日志服务器，设备模块至少包括流量、URL过滤、内容过滤、邮件过滤、行为、威胁等，重要性等级至少包括紧急、警报、严重、错误、告警、通知、信息、调试八种</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624"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FF0000"/>
                <w:sz w:val="24"/>
              </w:rPr>
            </w:pPr>
            <w:r>
              <w:rPr>
                <w:rFonts w:hint="eastAsia" w:ascii="宋体" w:hAnsi="宋体" w:cs="宋体"/>
                <w:kern w:val="0"/>
                <w:sz w:val="24"/>
              </w:rPr>
              <w:t>所投产品必须支持日志模板功能，可以设置置各种日志发送的哪些字段以及字段的顺序，满足日志字段定制化需求</w:t>
            </w:r>
          </w:p>
        </w:tc>
      </w:tr>
      <w:tr>
        <w:tblPrEx>
          <w:tblCellMar>
            <w:top w:w="0" w:type="dxa"/>
            <w:left w:w="108" w:type="dxa"/>
            <w:bottom w:w="0" w:type="dxa"/>
            <w:right w:w="108" w:type="dxa"/>
          </w:tblCellMar>
        </w:tblPrEx>
        <w:trPr>
          <w:trHeight w:val="90"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所投产品必须支持IPS特征库、威胁情报库、应用识别库等数据库的实时更新或手动更新。</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1720"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所投产品必须提供可明文或加密方式调用的Restful API，并可指定Restful API使用的本地端口；为确保设备管理的安全性，所投产品必须支持限制特定主机调用Restful API</w:t>
            </w:r>
            <w:r>
              <w:rPr>
                <w:rFonts w:hint="eastAsia" w:ascii="宋体" w:hAnsi="宋体" w:cs="宋体"/>
                <w:b/>
                <w:bCs/>
                <w:color w:val="000000"/>
                <w:kern w:val="0"/>
                <w:sz w:val="24"/>
              </w:rPr>
              <w:t>（投标文件需要提供能够体现上述功能及配置选项的截图）</w:t>
            </w:r>
            <w:r>
              <w:rPr>
                <w:rFonts w:hint="eastAsia" w:ascii="宋体" w:hAnsi="宋体" w:cs="宋体"/>
                <w:color w:val="000000"/>
                <w:kern w:val="0"/>
                <w:sz w:val="24"/>
              </w:rPr>
              <w:t>支持定义第三方设备、平台通过调用Restful API 至少可配置所投设备的访问控制策略、源NAT策略、目的NAT策略、静态路由、高可用以及区域、地址、服务、时间、用户对象等功能</w:t>
            </w:r>
            <w:r>
              <w:rPr>
                <w:rFonts w:hint="eastAsia" w:ascii="宋体" w:hAnsi="宋体" w:cs="宋体"/>
                <w:b/>
                <w:bCs/>
                <w:color w:val="000000"/>
                <w:kern w:val="0"/>
                <w:sz w:val="24"/>
              </w:rPr>
              <w:t>（投标文件必须提供所投产品的Restful API使用说明并加盖公司公章）。</w:t>
            </w:r>
          </w:p>
        </w:tc>
      </w:tr>
      <w:tr>
        <w:tblPrEx>
          <w:tblCellMar>
            <w:top w:w="0" w:type="dxa"/>
            <w:left w:w="108" w:type="dxa"/>
            <w:bottom w:w="0" w:type="dxa"/>
            <w:right w:w="108" w:type="dxa"/>
          </w:tblCellMar>
        </w:tblPrEx>
        <w:trPr>
          <w:trHeight w:val="58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所投产品必须web页面必须内置抓包工具，并可通过表达式方便灵活的指定抓包过滤条件。</w:t>
            </w:r>
            <w:r>
              <w:rPr>
                <w:rFonts w:hint="eastAsia" w:ascii="宋体" w:hAnsi="宋体" w:cs="宋体"/>
                <w:b/>
                <w:bCs/>
                <w:color w:val="000000"/>
                <w:kern w:val="0"/>
                <w:sz w:val="24"/>
              </w:rPr>
              <w:t>（投标文件需提供能够体现上述功能及配置选项截图）</w:t>
            </w:r>
          </w:p>
        </w:tc>
      </w:tr>
      <w:tr>
        <w:tblPrEx>
          <w:tblCellMar>
            <w:top w:w="0" w:type="dxa"/>
            <w:left w:w="108" w:type="dxa"/>
            <w:bottom w:w="0" w:type="dxa"/>
            <w:right w:w="108" w:type="dxa"/>
          </w:tblCellMar>
        </w:tblPrEx>
        <w:trPr>
          <w:trHeight w:val="58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所投产品必须提供中英文双语管理界面，并在登录页面可选择Web页面使用的语言</w:t>
            </w:r>
            <w:r>
              <w:rPr>
                <w:rFonts w:hint="eastAsia" w:ascii="宋体" w:hAnsi="宋体" w:cs="宋体"/>
                <w:b/>
                <w:bCs/>
                <w:color w:val="000000"/>
                <w:kern w:val="0"/>
                <w:sz w:val="24"/>
              </w:rPr>
              <w:t>（投标文件需提供能够体现上述功能及配置选项截图）</w:t>
            </w:r>
          </w:p>
        </w:tc>
      </w:tr>
      <w:tr>
        <w:tblPrEx>
          <w:tblCellMar>
            <w:top w:w="0" w:type="dxa"/>
            <w:left w:w="108" w:type="dxa"/>
            <w:bottom w:w="0" w:type="dxa"/>
            <w:right w:w="108" w:type="dxa"/>
          </w:tblCellMar>
        </w:tblPrEx>
        <w:trPr>
          <w:trHeight w:val="268"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sz w:val="24"/>
              </w:rPr>
            </w:pPr>
            <w:r>
              <w:rPr>
                <w:rFonts w:hint="eastAsia" w:ascii="宋体" w:hAnsi="宋体" w:cs="宋体"/>
                <w:kern w:val="0"/>
                <w:sz w:val="24"/>
              </w:rPr>
              <w:t>所投产品必须支持业务接口下Netflow功能，能够通过Netflow实现对网络进行监控，对接口流量进行抓包，并在可将Netflow抓包文件数据外发</w:t>
            </w:r>
            <w:r>
              <w:rPr>
                <w:rFonts w:hint="eastAsia" w:ascii="宋体" w:hAnsi="宋体" w:cs="宋体"/>
                <w:b/>
                <w:bCs/>
                <w:kern w:val="0"/>
                <w:sz w:val="24"/>
              </w:rPr>
              <w:t>（投标文件需提供能够体现上述功能及配置选项截图）</w:t>
            </w:r>
          </w:p>
        </w:tc>
      </w:tr>
      <w:tr>
        <w:tblPrEx>
          <w:tblCellMar>
            <w:top w:w="0" w:type="dxa"/>
            <w:left w:w="108" w:type="dxa"/>
            <w:bottom w:w="0" w:type="dxa"/>
            <w:right w:w="108" w:type="dxa"/>
          </w:tblCellMar>
        </w:tblPrEx>
        <w:trPr>
          <w:trHeight w:val="1432"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sz w:val="24"/>
              </w:rPr>
            </w:pPr>
            <w:r>
              <w:rPr>
                <w:rFonts w:hint="eastAsia" w:ascii="宋体" w:hAnsi="宋体" w:cs="宋体"/>
                <w:kern w:val="0"/>
                <w:sz w:val="24"/>
              </w:rPr>
              <w:t>所投产品必须支持资产管理，能够通过设置资产监控、VPN、源安全域来控制资产识别范围，支持scanner或onvif类型的扫描方式和网段，实现自动或手动资产扫描；支持通过设置IP地址、MAC地址、资产类型、生效市场、厂商、位置等信息来制定黑/白名单，方便日常资产管理，支持通过设置IP地址、MAC地址、资产类型、操作系统、应用、开放的端口和访问的端口等信息来制定资产指纹库</w:t>
            </w:r>
            <w:r>
              <w:rPr>
                <w:rFonts w:hint="eastAsia" w:ascii="宋体" w:hAnsi="宋体" w:cs="宋体"/>
                <w:b/>
                <w:bCs/>
                <w:kern w:val="0"/>
                <w:sz w:val="24"/>
              </w:rPr>
              <w:t>（投标文件需提供能够体现上述功能及配置选项截图）</w:t>
            </w:r>
          </w:p>
        </w:tc>
      </w:tr>
      <w:tr>
        <w:tblPrEx>
          <w:tblCellMar>
            <w:top w:w="0" w:type="dxa"/>
            <w:left w:w="108" w:type="dxa"/>
            <w:bottom w:w="0" w:type="dxa"/>
            <w:right w:w="108" w:type="dxa"/>
          </w:tblCellMar>
        </w:tblPrEx>
        <w:trPr>
          <w:trHeight w:val="585"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sz w:val="24"/>
              </w:rPr>
            </w:pPr>
            <w:r>
              <w:rPr>
                <w:rFonts w:hint="eastAsia" w:ascii="宋体" w:hAnsi="宋体" w:cs="宋体"/>
                <w:kern w:val="0"/>
                <w:sz w:val="24"/>
              </w:rPr>
              <w:t>具备LLDP功能，可以向网络中其它节点公告自身的存在，并保存各个邻近设备的发现信息，如设备配置和设备识别等详细信息。</w:t>
            </w:r>
          </w:p>
        </w:tc>
      </w:tr>
      <w:tr>
        <w:tblPrEx>
          <w:tblCellMar>
            <w:top w:w="0" w:type="dxa"/>
            <w:left w:w="108" w:type="dxa"/>
            <w:bottom w:w="0" w:type="dxa"/>
            <w:right w:w="108" w:type="dxa"/>
          </w:tblCellMar>
        </w:tblPrEx>
        <w:trPr>
          <w:trHeight w:val="695" w:hRule="atLeast"/>
          <w:jc w:val="center"/>
        </w:trPr>
        <w:tc>
          <w:tcPr>
            <w:tcW w:w="1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云端协同</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所投产品必须支持与云端联动，至少实现病毒云查杀、URL云识别、应用云识别、云沙箱、威胁情报云检测等功能</w:t>
            </w:r>
            <w:r>
              <w:rPr>
                <w:rFonts w:hint="eastAsia" w:ascii="宋体" w:hAnsi="宋体" w:cs="宋体"/>
                <w:b/>
                <w:bCs/>
                <w:color w:val="000000"/>
                <w:kern w:val="0"/>
                <w:sz w:val="24"/>
              </w:rPr>
              <w:t>（投标文件需提供能够体现上述功能及配置选项截图）</w:t>
            </w:r>
          </w:p>
        </w:tc>
      </w:tr>
      <w:tr>
        <w:tblPrEx>
          <w:tblCellMar>
            <w:top w:w="0" w:type="dxa"/>
            <w:left w:w="108" w:type="dxa"/>
            <w:bottom w:w="0" w:type="dxa"/>
            <w:right w:w="108" w:type="dxa"/>
          </w:tblCellMar>
        </w:tblPrEx>
        <w:trPr>
          <w:trHeight w:val="873" w:hRule="atLeast"/>
          <w:jc w:val="center"/>
        </w:trPr>
        <w:tc>
          <w:tcPr>
            <w:tcW w:w="1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▲终端安全软件联动</w:t>
            </w: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所投产品必须支持与本方案中配置的桌面杀毒或终端管理软件联动，实现基于终端健康状态的访问控制；并支持阻断“高风险”终端网络活动的同时，提示被阻断原因及重定向自定义网址。</w:t>
            </w:r>
            <w:r>
              <w:rPr>
                <w:rFonts w:hint="eastAsia" w:ascii="宋体" w:hAnsi="宋体" w:cs="宋体"/>
                <w:b/>
                <w:bCs/>
                <w:color w:val="000000"/>
                <w:kern w:val="0"/>
                <w:sz w:val="24"/>
              </w:rPr>
              <w:t>（投标文件需要提供能够体现上述功能及配置选项的截图）；</w:t>
            </w:r>
          </w:p>
        </w:tc>
      </w:tr>
      <w:tr>
        <w:tblPrEx>
          <w:tblCellMar>
            <w:top w:w="0" w:type="dxa"/>
            <w:left w:w="108" w:type="dxa"/>
            <w:bottom w:w="0" w:type="dxa"/>
            <w:right w:w="108" w:type="dxa"/>
          </w:tblCellMar>
        </w:tblPrEx>
        <w:trPr>
          <w:trHeight w:val="585" w:hRule="atLeast"/>
          <w:jc w:val="center"/>
        </w:trPr>
        <w:tc>
          <w:tcPr>
            <w:tcW w:w="1655" w:type="dxa"/>
            <w:vMerge w:val="restart"/>
            <w:tcBorders>
              <w:top w:val="single" w:color="000000" w:sz="4" w:space="0"/>
              <w:left w:val="single" w:color="auto" w:sz="4" w:space="0"/>
              <w:bottom w:val="single" w:color="auto" w:sz="4" w:space="0"/>
              <w:right w:val="nil"/>
            </w:tcBorders>
            <w:shd w:val="clear" w:color="auto" w:fill="FFFFFF"/>
            <w:noWrap/>
            <w:vAlign w:val="center"/>
          </w:tcPr>
          <w:p>
            <w:pPr>
              <w:widowControl/>
              <w:spacing w:line="420" w:lineRule="exact"/>
              <w:jc w:val="center"/>
              <w:textAlignment w:val="center"/>
              <w:rPr>
                <w:rFonts w:ascii="宋体" w:hAnsi="宋体" w:cs="宋体"/>
                <w:color w:val="000000"/>
                <w:sz w:val="24"/>
              </w:rPr>
            </w:pPr>
            <w:r>
              <w:rPr>
                <w:rFonts w:hint="eastAsia" w:ascii="宋体" w:hAnsi="宋体" w:cs="宋体"/>
                <w:kern w:val="0"/>
                <w:sz w:val="24"/>
              </w:rPr>
              <w:t>★</w:t>
            </w:r>
            <w:r>
              <w:rPr>
                <w:rFonts w:hint="eastAsia" w:ascii="宋体" w:hAnsi="宋体" w:cs="宋体"/>
                <w:color w:val="000000"/>
                <w:kern w:val="0"/>
                <w:sz w:val="24"/>
              </w:rPr>
              <w:t>产品资质</w:t>
            </w: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所投产品具备《计算机软件著作权登记证书》，</w:t>
            </w:r>
            <w:r>
              <w:rPr>
                <w:rFonts w:hint="eastAsia" w:ascii="宋体" w:hAnsi="宋体" w:cs="宋体"/>
                <w:b/>
                <w:bCs/>
                <w:color w:val="000000"/>
                <w:kern w:val="0"/>
                <w:sz w:val="24"/>
              </w:rPr>
              <w:t>投标文件提需供证书复印件并加盖厂商公章；</w:t>
            </w:r>
          </w:p>
        </w:tc>
      </w:tr>
      <w:tr>
        <w:tblPrEx>
          <w:tblCellMar>
            <w:top w:w="0" w:type="dxa"/>
            <w:left w:w="108" w:type="dxa"/>
            <w:bottom w:w="0" w:type="dxa"/>
            <w:right w:w="108" w:type="dxa"/>
          </w:tblCellMar>
        </w:tblPrEx>
        <w:trPr>
          <w:trHeight w:val="585" w:hRule="atLeast"/>
          <w:jc w:val="center"/>
        </w:trPr>
        <w:tc>
          <w:tcPr>
            <w:tcW w:w="1655" w:type="dxa"/>
            <w:vMerge w:val="continue"/>
            <w:tcBorders>
              <w:top w:val="single" w:color="000000" w:sz="4" w:space="0"/>
              <w:left w:val="single" w:color="auto" w:sz="4" w:space="0"/>
              <w:bottom w:val="single" w:color="auto" w:sz="4" w:space="0"/>
              <w:right w:val="nil"/>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所投产品具备国家信息安全测评中心颁发的《信息技术产品安全测评证书》</w:t>
            </w:r>
            <w:r>
              <w:rPr>
                <w:rFonts w:hint="eastAsia" w:ascii="宋体" w:hAnsi="宋体" w:cs="宋体"/>
                <w:kern w:val="0"/>
                <w:sz w:val="24"/>
              </w:rPr>
              <w:t>（EAL4+）</w:t>
            </w:r>
            <w:r>
              <w:rPr>
                <w:rFonts w:hint="eastAsia" w:ascii="宋体" w:hAnsi="宋体" w:cs="宋体"/>
                <w:color w:val="000000"/>
                <w:kern w:val="0"/>
                <w:sz w:val="24"/>
              </w:rPr>
              <w:t>，</w:t>
            </w:r>
            <w:r>
              <w:rPr>
                <w:rFonts w:hint="eastAsia" w:ascii="宋体" w:hAnsi="宋体" w:cs="宋体"/>
                <w:b/>
                <w:bCs/>
                <w:color w:val="000000"/>
                <w:kern w:val="0"/>
                <w:sz w:val="24"/>
              </w:rPr>
              <w:t>投标文件需提供证书复印件并加盖厂商公章；</w:t>
            </w:r>
          </w:p>
        </w:tc>
      </w:tr>
      <w:tr>
        <w:tblPrEx>
          <w:tblCellMar>
            <w:top w:w="0" w:type="dxa"/>
            <w:left w:w="108" w:type="dxa"/>
            <w:bottom w:w="0" w:type="dxa"/>
            <w:right w:w="108" w:type="dxa"/>
          </w:tblCellMar>
        </w:tblPrEx>
        <w:trPr>
          <w:trHeight w:val="873" w:hRule="atLeast"/>
          <w:jc w:val="center"/>
        </w:trPr>
        <w:tc>
          <w:tcPr>
            <w:tcW w:w="1655" w:type="dxa"/>
            <w:vMerge w:val="continue"/>
            <w:tcBorders>
              <w:top w:val="single" w:color="000000" w:sz="4" w:space="0"/>
              <w:left w:val="single" w:color="auto" w:sz="4" w:space="0"/>
              <w:bottom w:val="single" w:color="auto" w:sz="4" w:space="0"/>
              <w:right w:val="nil"/>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所投产品具备公安部网络安全保卫局颁发的《计算机信息系统安全专用产品销售许可证》（</w:t>
            </w:r>
            <w:r>
              <w:rPr>
                <w:rFonts w:hint="eastAsia" w:ascii="宋体" w:hAnsi="宋体" w:cs="宋体"/>
                <w:kern w:val="0"/>
                <w:sz w:val="24"/>
              </w:rPr>
              <w:t>增强级）</w:t>
            </w:r>
            <w:r>
              <w:rPr>
                <w:rFonts w:hint="eastAsia" w:ascii="宋体" w:hAnsi="宋体" w:cs="宋体"/>
                <w:color w:val="000000"/>
                <w:kern w:val="0"/>
                <w:sz w:val="24"/>
              </w:rPr>
              <w:t>，投标文件需提供证书复印件并加盖厂商公章，在计算机信息系统安全专用产品销售许可证服务平台可查（https://ispl.mps.gov.cn/ispl/）</w:t>
            </w:r>
          </w:p>
        </w:tc>
      </w:tr>
      <w:tr>
        <w:tblPrEx>
          <w:tblCellMar>
            <w:top w:w="0" w:type="dxa"/>
            <w:left w:w="108" w:type="dxa"/>
            <w:bottom w:w="0" w:type="dxa"/>
            <w:right w:w="108" w:type="dxa"/>
          </w:tblCellMar>
        </w:tblPrEx>
        <w:trPr>
          <w:trHeight w:val="585" w:hRule="atLeast"/>
          <w:jc w:val="center"/>
        </w:trPr>
        <w:tc>
          <w:tcPr>
            <w:tcW w:w="1655" w:type="dxa"/>
            <w:vMerge w:val="continue"/>
            <w:tcBorders>
              <w:top w:val="single" w:color="000000" w:sz="4" w:space="0"/>
              <w:left w:val="single" w:color="auto" w:sz="4" w:space="0"/>
              <w:bottom w:val="single" w:color="auto" w:sz="4" w:space="0"/>
              <w:right w:val="nil"/>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具备《中国国家信息安全产品认证证书》（增强级），</w:t>
            </w:r>
            <w:r>
              <w:rPr>
                <w:rFonts w:hint="eastAsia" w:ascii="宋体" w:hAnsi="宋体" w:cs="宋体"/>
                <w:b/>
                <w:bCs/>
                <w:color w:val="000000"/>
                <w:kern w:val="0"/>
                <w:sz w:val="24"/>
              </w:rPr>
              <w:t>投标文件提需供证书复印件并加盖厂商公章；</w:t>
            </w:r>
          </w:p>
        </w:tc>
      </w:tr>
      <w:tr>
        <w:tblPrEx>
          <w:tblCellMar>
            <w:top w:w="0" w:type="dxa"/>
            <w:left w:w="108" w:type="dxa"/>
            <w:bottom w:w="0" w:type="dxa"/>
            <w:right w:w="108" w:type="dxa"/>
          </w:tblCellMar>
        </w:tblPrEx>
        <w:trPr>
          <w:trHeight w:val="297" w:hRule="atLeast"/>
          <w:jc w:val="center"/>
        </w:trPr>
        <w:tc>
          <w:tcPr>
            <w:tcW w:w="1655" w:type="dxa"/>
            <w:vMerge w:val="continue"/>
            <w:tcBorders>
              <w:top w:val="single" w:color="000000" w:sz="4" w:space="0"/>
              <w:left w:val="single" w:color="auto" w:sz="4" w:space="0"/>
              <w:bottom w:val="single" w:color="auto" w:sz="4" w:space="0"/>
              <w:right w:val="nil"/>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具备中华人民共和国工业和信息化部颁发的《电信设备进网许可证》</w:t>
            </w:r>
          </w:p>
        </w:tc>
      </w:tr>
      <w:tr>
        <w:tblPrEx>
          <w:tblCellMar>
            <w:top w:w="0" w:type="dxa"/>
            <w:left w:w="108" w:type="dxa"/>
            <w:bottom w:w="0" w:type="dxa"/>
            <w:right w:w="108" w:type="dxa"/>
          </w:tblCellMar>
        </w:tblPrEx>
        <w:trPr>
          <w:trHeight w:val="585" w:hRule="atLeast"/>
          <w:jc w:val="center"/>
        </w:trPr>
        <w:tc>
          <w:tcPr>
            <w:tcW w:w="1655" w:type="dxa"/>
            <w:vMerge w:val="continue"/>
            <w:tcBorders>
              <w:top w:val="single" w:color="000000" w:sz="4" w:space="0"/>
              <w:left w:val="single" w:color="auto" w:sz="4" w:space="0"/>
              <w:bottom w:val="single" w:color="auto" w:sz="4" w:space="0"/>
              <w:right w:val="nil"/>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具备中国信息安全测评中心颁发的《国家信息安全漏洞库兼容性资质证书》，</w:t>
            </w:r>
            <w:r>
              <w:rPr>
                <w:rFonts w:hint="eastAsia" w:ascii="宋体" w:hAnsi="宋体" w:cs="宋体"/>
                <w:b/>
                <w:bCs/>
                <w:color w:val="000000"/>
                <w:kern w:val="0"/>
                <w:sz w:val="24"/>
              </w:rPr>
              <w:t>投标文件提需供证书复印件并加盖厂商公章。</w:t>
            </w:r>
          </w:p>
        </w:tc>
      </w:tr>
      <w:tr>
        <w:tblPrEx>
          <w:tblCellMar>
            <w:top w:w="0" w:type="dxa"/>
            <w:left w:w="108" w:type="dxa"/>
            <w:bottom w:w="0" w:type="dxa"/>
            <w:right w:w="108" w:type="dxa"/>
          </w:tblCellMar>
        </w:tblPrEx>
        <w:trPr>
          <w:trHeight w:val="305" w:hRule="atLeast"/>
          <w:jc w:val="center"/>
        </w:trPr>
        <w:tc>
          <w:tcPr>
            <w:tcW w:w="1655" w:type="dxa"/>
            <w:vMerge w:val="continue"/>
            <w:tcBorders>
              <w:top w:val="single" w:color="000000" w:sz="4" w:space="0"/>
              <w:left w:val="single" w:color="auto" w:sz="4" w:space="0"/>
              <w:bottom w:val="single" w:color="auto" w:sz="4" w:space="0"/>
              <w:right w:val="nil"/>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sz w:val="24"/>
              </w:rPr>
            </w:pPr>
            <w:r>
              <w:rPr>
                <w:rFonts w:hint="eastAsia" w:ascii="宋体" w:hAnsi="宋体" w:cs="宋体"/>
                <w:color w:val="000000"/>
                <w:kern w:val="0"/>
                <w:sz w:val="24"/>
              </w:rPr>
              <w:t>具备IPv6 Enabled Logo认证</w:t>
            </w:r>
          </w:p>
        </w:tc>
      </w:tr>
      <w:tr>
        <w:tblPrEx>
          <w:tblCellMar>
            <w:top w:w="0" w:type="dxa"/>
            <w:left w:w="108" w:type="dxa"/>
            <w:bottom w:w="0" w:type="dxa"/>
            <w:right w:w="108" w:type="dxa"/>
          </w:tblCellMar>
        </w:tblPrEx>
        <w:trPr>
          <w:trHeight w:val="305" w:hRule="atLeast"/>
          <w:jc w:val="center"/>
        </w:trPr>
        <w:tc>
          <w:tcPr>
            <w:tcW w:w="1655" w:type="dxa"/>
            <w:vMerge w:val="continue"/>
            <w:tcBorders>
              <w:top w:val="single" w:color="000000" w:sz="4" w:space="0"/>
              <w:left w:val="single" w:color="auto" w:sz="4" w:space="0"/>
              <w:bottom w:val="single" w:color="auto" w:sz="4" w:space="0"/>
              <w:right w:val="nil"/>
            </w:tcBorders>
            <w:vAlign w:val="center"/>
          </w:tcPr>
          <w:p>
            <w:pPr>
              <w:widowControl/>
              <w:jc w:val="left"/>
              <w:rPr>
                <w:rFonts w:ascii="宋体" w:hAnsi="宋体" w:cs="宋体"/>
                <w:color w:val="000000"/>
                <w:sz w:val="24"/>
              </w:rPr>
            </w:pPr>
          </w:p>
        </w:tc>
        <w:tc>
          <w:tcPr>
            <w:tcW w:w="7404" w:type="dxa"/>
            <w:tcBorders>
              <w:top w:val="single" w:color="000000" w:sz="4" w:space="0"/>
              <w:left w:val="single" w:color="000000" w:sz="4" w:space="0"/>
              <w:bottom w:val="single" w:color="000000" w:sz="4" w:space="0"/>
              <w:right w:val="single" w:color="000000" w:sz="4" w:space="0"/>
            </w:tcBorders>
          </w:tcPr>
          <w:p>
            <w:pPr>
              <w:widowControl/>
              <w:spacing w:line="420" w:lineRule="exact"/>
              <w:textAlignment w:val="center"/>
              <w:rPr>
                <w:rFonts w:ascii="宋体" w:hAnsi="宋体" w:cs="宋体"/>
                <w:color w:val="000000"/>
                <w:kern w:val="0"/>
                <w:sz w:val="24"/>
              </w:rPr>
            </w:pPr>
            <w:r>
              <w:rPr>
                <w:rFonts w:hint="eastAsia" w:ascii="宋体" w:hAnsi="宋体" w:cs="宋体"/>
                <w:color w:val="000000"/>
                <w:kern w:val="0"/>
                <w:sz w:val="24"/>
              </w:rPr>
              <w:t>产品生产厂商具备CIC信息化建设及数字化能力评价（一级）证书(</w:t>
            </w:r>
            <w:r>
              <w:rPr>
                <w:rFonts w:hint="eastAsia" w:ascii="宋体" w:hAnsi="宋体" w:cs="宋体"/>
                <w:b/>
                <w:bCs/>
                <w:color w:val="000000"/>
                <w:kern w:val="0"/>
                <w:sz w:val="24"/>
              </w:rPr>
              <w:t>需提供证书复印件</w:t>
            </w:r>
            <w:r>
              <w:rPr>
                <w:rFonts w:hint="eastAsia" w:ascii="宋体" w:hAnsi="宋体" w:cs="宋体"/>
                <w:color w:val="000000"/>
                <w:kern w:val="0"/>
                <w:sz w:val="24"/>
              </w:rPr>
              <w:t>)。</w:t>
            </w:r>
          </w:p>
        </w:tc>
      </w:tr>
    </w:tbl>
    <w:p>
      <w:pPr>
        <w:spacing w:line="420" w:lineRule="exact"/>
        <w:ind w:firstLine="480" w:firstLineChars="200"/>
        <w:rPr>
          <w:rFonts w:ascii="宋体" w:hAnsi="宋体"/>
          <w:iCs/>
          <w:sz w:val="24"/>
        </w:rPr>
      </w:pPr>
    </w:p>
    <w:p>
      <w:pPr>
        <w:rPr>
          <w:rFonts w:ascii="宋体" w:hAnsi="宋体" w:cs="楷体_GB2312"/>
          <w:iCs/>
          <w:sz w:val="24"/>
        </w:rPr>
      </w:pPr>
      <w:r>
        <w:rPr>
          <w:rFonts w:hint="eastAsia" w:ascii="宋体" w:hAnsi="宋体" w:cs="楷体_GB2312"/>
          <w:iCs/>
          <w:sz w:val="24"/>
        </w:rPr>
        <w:t>2.上网行为管理</w:t>
      </w:r>
    </w:p>
    <w:tbl>
      <w:tblPr>
        <w:tblStyle w:val="19"/>
        <w:tblW w:w="9032"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7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b/>
                <w:bCs/>
                <w:kern w:val="0"/>
                <w:sz w:val="24"/>
              </w:rPr>
            </w:pPr>
            <w:r>
              <w:rPr>
                <w:rFonts w:hint="eastAsia" w:ascii="宋体" w:hAnsi="宋体" w:cs="宋体"/>
                <w:b/>
                <w:bCs/>
                <w:kern w:val="0"/>
                <w:sz w:val="24"/>
              </w:rPr>
              <w:t>指标项</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b/>
                <w:bCs/>
                <w:kern w:val="0"/>
                <w:sz w:val="24"/>
              </w:rPr>
            </w:pPr>
            <w:r>
              <w:rPr>
                <w:rFonts w:hint="eastAsia" w:ascii="宋体" w:hAnsi="宋体" w:cs="宋体"/>
                <w:b/>
                <w:bCs/>
                <w:kern w:val="0"/>
                <w:sz w:val="24"/>
              </w:rPr>
              <w:t>详细参数要求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kern w:val="0"/>
                <w:sz w:val="24"/>
              </w:rPr>
            </w:pPr>
            <w:r>
              <w:rPr>
                <w:rFonts w:hint="eastAsia" w:ascii="宋体" w:hAnsi="宋体" w:cs="宋体"/>
                <w:kern w:val="0"/>
                <w:sz w:val="24"/>
              </w:rPr>
              <w:t>产品规格</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★产品不少于4个千兆电口，单电源，硬盘≥128Gminisata SSD，1U；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★网络层吞吐量≥2Gbps，应用层吞吐量≥15Mbps，支持用户数≥500，每秒新建连接数≥1000,最大并发连接数≥50000，内存≥4G；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kern w:val="0"/>
                <w:sz w:val="24"/>
              </w:rPr>
            </w:pPr>
            <w:r>
              <w:rPr>
                <w:rFonts w:hint="eastAsia" w:ascii="宋体" w:hAnsi="宋体" w:cs="宋体"/>
                <w:kern w:val="0"/>
                <w:sz w:val="24"/>
              </w:rPr>
              <w:t>部署方式</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支持路由模式（NAT、路由转发、DHCP、GRE、OSPF）、网桥模式（多路桥接模式）、旁路模式；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kern w:val="0"/>
                <w:sz w:val="24"/>
              </w:rPr>
            </w:pPr>
            <w:r>
              <w:rPr>
                <w:rFonts w:hint="eastAsia" w:ascii="宋体" w:hAnsi="宋体" w:cs="宋体"/>
                <w:kern w:val="0"/>
                <w:sz w:val="24"/>
              </w:rPr>
              <w:t>管理员账号</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支持细致的管理员权限划分，包括对不同用户组的管理权限、对各种主要功能界面的配置和查看权限；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kern w:val="0"/>
                <w:sz w:val="24"/>
              </w:rPr>
            </w:pPr>
            <w:r>
              <w:rPr>
                <w:rFonts w:hint="eastAsia" w:ascii="宋体" w:hAnsi="宋体" w:cs="宋体"/>
                <w:kern w:val="0"/>
                <w:sz w:val="24"/>
              </w:rPr>
              <w:t>实时监控</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★支持首页分析显示接入用户人数、终端类型；带宽质量分析、实时流量排名；资产类型分布、新设备发现趋势、终端违规检查项排行、终端违规用户排行；（需提供产品功能截图证明）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kern w:val="0"/>
                <w:sz w:val="24"/>
              </w:rPr>
            </w:pPr>
            <w:r>
              <w:rPr>
                <w:rFonts w:hint="eastAsia" w:ascii="宋体" w:hAnsi="宋体" w:cs="宋体"/>
                <w:kern w:val="0"/>
                <w:sz w:val="24"/>
              </w:rPr>
              <w:t>排障工具</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支持PPS异常、丢包异常、ARP异常、内网DOS攻击等异常情况实时监测，显示每日异常事件个数及情况；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★支持针对用户认证的故障进行分析，给出错误详情以及排查建议；（需提供产品功能截图证明）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kern w:val="0"/>
                <w:sz w:val="24"/>
              </w:rPr>
            </w:pPr>
            <w:r>
              <w:rPr>
                <w:rFonts w:hint="eastAsia" w:ascii="宋体" w:hAnsi="宋体" w:cs="宋体"/>
                <w:kern w:val="0"/>
                <w:sz w:val="24"/>
              </w:rPr>
              <w:t>用户管理</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支持从本地导入和扫描导入，支持以CSV格式文件导入帐户/分组/IP/MAC/描述/密码等信息；用户分组支持树形结构，支持父组、子组、组内套组等；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kern w:val="0"/>
                <w:sz w:val="24"/>
              </w:rPr>
            </w:pPr>
            <w:r>
              <w:rPr>
                <w:rFonts w:hint="eastAsia" w:ascii="宋体" w:hAnsi="宋体" w:cs="宋体"/>
                <w:kern w:val="0"/>
                <w:sz w:val="24"/>
              </w:rPr>
              <w:t>认证管理</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基于IP网段、VlanID、MAC、SSID、地址等实现新用户差异化自动分组、认证规则；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支持认证页面分权分域管理；启用后，普通管理员只能看到自己有权限的页面，其他管理员页面不可见； 系统管理员可以将某个页面授权给指定的普通管理员管理；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kern w:val="0"/>
                <w:sz w:val="24"/>
              </w:rPr>
            </w:pPr>
            <w:r>
              <w:rPr>
                <w:rFonts w:hint="eastAsia" w:ascii="宋体" w:hAnsi="宋体" w:cs="宋体"/>
                <w:kern w:val="0"/>
                <w:sz w:val="24"/>
              </w:rPr>
              <w:t>认证方式</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支持radius、AD、POP3、Proxy、PPPOE、 H3C IMC/CAMS、锐捷 SAM、城市热点等系统进行认证单点登录，简化用户操作，可强制指定用户、指定IP段的用户必须使用单点登录；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支持触发式WEB认证、用户名密码认证、IP/MAC认证、短信认证、自注册认证；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★支持终端用户账号绑定手机号码和微信号，绑定后可以通过手机验证码和微信扫码实现上网快捷登录认证；（需提供产品功能截图证明）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支持二维码认证，担保人扫描访客的二维码后对其网络访问授权；支持访客填写信息、担保人填写信息、担保人扫码审核三种模式；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kern w:val="0"/>
                <w:sz w:val="24"/>
              </w:rPr>
            </w:pPr>
            <w:r>
              <w:rPr>
                <w:rFonts w:hint="eastAsia" w:ascii="宋体" w:hAnsi="宋体" w:cs="宋体"/>
                <w:kern w:val="0"/>
                <w:sz w:val="24"/>
              </w:rPr>
              <w:t>应用管理</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★设备内置应用识别规则库，支持超过9000条应用规则数、支持超过6000种以上的应用；支持根据标签选择应用，并支持给每个应用自定义标签；支持根据标签选择一类应用做控制；（需提供产品功能截图证明）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★支持超过900种主流Saas应用，对Saas应用有默认分类标签，帮助客户统一配置策略；（需提供产品功能截图证明）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kern w:val="0"/>
                <w:sz w:val="24"/>
              </w:rPr>
            </w:pPr>
            <w:r>
              <w:rPr>
                <w:rFonts w:hint="eastAsia" w:ascii="宋体" w:hAnsi="宋体" w:cs="宋体"/>
                <w:kern w:val="0"/>
                <w:sz w:val="24"/>
              </w:rPr>
              <w:t>邮件管理</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★支持允许用户登录Webmail收邮件，而禁止发送Webmail邮件的功能；（需提供产品功能截图证明）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kern w:val="0"/>
                <w:sz w:val="24"/>
              </w:rPr>
            </w:pPr>
            <w:r>
              <w:rPr>
                <w:rFonts w:hint="eastAsia" w:ascii="宋体" w:hAnsi="宋体" w:cs="宋体"/>
                <w:kern w:val="0"/>
                <w:sz w:val="24"/>
              </w:rPr>
              <w:t>流量管理</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★支持在设置流量策略后，根据整体线路或者某流量通道内的空闲情况，自动启用和停止使用流量控制策略，以提升带宽的高使用率；空闲值可自定义；（需提供产品功能截图证明）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★支持通过抑制P2P的下行丢包，来减缓P2P的下行流量，从而解决网络出口在做流控后仍然压力较大的问题；（需提供产品功能截图证明）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kern w:val="0"/>
                <w:sz w:val="24"/>
              </w:rPr>
            </w:pPr>
            <w:r>
              <w:rPr>
                <w:rFonts w:hint="eastAsia" w:ascii="宋体" w:hAnsi="宋体" w:cs="宋体"/>
                <w:kern w:val="0"/>
                <w:sz w:val="24"/>
              </w:rPr>
              <w:t>用户配额管理</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★基于“流量”、“流速”、“时长”设置配额，当配额耗尽后，将用户加入到指定的流控黑名单惩罚通道中；用户指定应用上网流速超过预设阈值后，网关自动提醒该用户；（需提供产品功能截图证明）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kern w:val="0"/>
                <w:sz w:val="24"/>
              </w:rPr>
            </w:pPr>
            <w:r>
              <w:rPr>
                <w:rFonts w:hint="eastAsia" w:ascii="宋体" w:hAnsi="宋体" w:cs="宋体"/>
                <w:kern w:val="0"/>
                <w:sz w:val="24"/>
              </w:rPr>
              <w:t>日志管理</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支持内置日志中心和独立日志中心；支持分级配置管理员日志查看权限，管理员登录日志中心只能查看指定用户组的上网行为日志；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center"/>
              <w:rPr>
                <w:rFonts w:ascii="宋体" w:hAnsi="宋体" w:cs="宋体"/>
                <w:kern w:val="0"/>
                <w:sz w:val="24"/>
              </w:rPr>
            </w:pPr>
            <w:r>
              <w:rPr>
                <w:rFonts w:hint="eastAsia" w:ascii="宋体" w:hAnsi="宋体" w:cs="宋体"/>
                <w:kern w:val="0"/>
                <w:sz w:val="24"/>
              </w:rPr>
              <w:t>资质要求</w:t>
            </w: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★所投产品的生产厂商的软件研发实力具备CMMI L5认证，提供有效证书的复印件。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textAlignment w:val="center"/>
              <w:rPr>
                <w:rFonts w:ascii="宋体" w:hAnsi="宋体" w:cs="宋体"/>
                <w:kern w:val="0"/>
                <w:sz w:val="24"/>
              </w:rPr>
            </w:pPr>
            <w:r>
              <w:rPr>
                <w:rFonts w:hint="eastAsia" w:ascii="宋体" w:hAnsi="宋体" w:cs="宋体"/>
                <w:kern w:val="0"/>
                <w:sz w:val="24"/>
              </w:rPr>
              <w:t>★为保障产品成熟度，要求所投产品的生产厂商具备中国网络安全审查技术与认证中心的信息安全软件开发服务一级资质，提供有效证书复印件。</w:t>
            </w:r>
          </w:p>
        </w:tc>
      </w:tr>
    </w:tbl>
    <w:p>
      <w:pPr>
        <w:spacing w:line="420" w:lineRule="exact"/>
        <w:rPr>
          <w:rFonts w:ascii="宋体" w:hAnsi="宋体"/>
          <w:i/>
          <w:sz w:val="24"/>
        </w:rPr>
      </w:pPr>
    </w:p>
    <w:p>
      <w:pPr>
        <w:rPr>
          <w:rFonts w:ascii="宋体" w:hAnsi="宋体" w:cs="楷体_GB2312"/>
          <w:iCs/>
          <w:sz w:val="24"/>
        </w:rPr>
      </w:pPr>
      <w:r>
        <w:rPr>
          <w:rFonts w:hint="eastAsia" w:ascii="宋体" w:hAnsi="宋体" w:cs="楷体_GB2312"/>
          <w:iCs/>
          <w:sz w:val="24"/>
        </w:rPr>
        <w:t>3.日志审计</w:t>
      </w:r>
    </w:p>
    <w:tbl>
      <w:tblPr>
        <w:tblStyle w:val="19"/>
        <w:tblW w:w="51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9"/>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845"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
                <w:kern w:val="0"/>
                <w:sz w:val="24"/>
              </w:rPr>
            </w:pPr>
            <w:r>
              <w:rPr>
                <w:rFonts w:hint="eastAsia" w:ascii="宋体" w:hAnsi="宋体" w:cs="宋体"/>
                <w:b/>
                <w:kern w:val="0"/>
                <w:sz w:val="24"/>
              </w:rPr>
              <w:t>指标项</w:t>
            </w: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jc w:val="center"/>
              <w:rPr>
                <w:rFonts w:ascii="宋体" w:hAnsi="宋体" w:cs="宋体"/>
                <w:b/>
                <w:sz w:val="24"/>
              </w:rPr>
            </w:pPr>
            <w:r>
              <w:rPr>
                <w:rFonts w:hint="eastAsia" w:ascii="宋体" w:hAnsi="宋体" w:cs="宋体"/>
                <w:b/>
                <w:sz w:val="24"/>
              </w:rPr>
              <w:t>详细参数要求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845"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Cs/>
                <w:kern w:val="0"/>
                <w:sz w:val="24"/>
              </w:rPr>
            </w:pPr>
            <w:r>
              <w:rPr>
                <w:rFonts w:hint="eastAsia" w:ascii="宋体" w:hAnsi="宋体" w:cs="宋体"/>
                <w:bCs/>
                <w:kern w:val="0"/>
                <w:sz w:val="24"/>
              </w:rPr>
              <w:t>硬件和性能规格</w:t>
            </w: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sz w:val="24"/>
              </w:rPr>
            </w:pPr>
            <w:r>
              <w:rPr>
                <w:rFonts w:hint="eastAsia" w:ascii="宋体" w:hAnsi="宋体" w:cs="宋体"/>
                <w:sz w:val="24"/>
              </w:rPr>
              <w:t>标准1U机箱，单电源；★综合日志处理性能2600EPS；默认配置</w:t>
            </w:r>
            <w:r>
              <w:rPr>
                <w:rFonts w:hint="eastAsia" w:ascii="宋体" w:hAnsi="宋体" w:cs="宋体"/>
                <w:color w:val="000000"/>
                <w:sz w:val="24"/>
              </w:rPr>
              <w:t>≥4</w:t>
            </w:r>
            <w:r>
              <w:rPr>
                <w:rFonts w:hint="eastAsia" w:ascii="宋体" w:hAnsi="宋体" w:cs="宋体"/>
                <w:sz w:val="24"/>
              </w:rPr>
              <w:t>个千兆电口，1个Console接口，</w:t>
            </w:r>
            <w:r>
              <w:rPr>
                <w:rFonts w:hint="eastAsia" w:ascii="宋体" w:hAnsi="宋体" w:cs="宋体"/>
                <w:color w:val="000000"/>
                <w:sz w:val="24"/>
              </w:rPr>
              <w:t>≥</w:t>
            </w:r>
            <w:r>
              <w:rPr>
                <w:rFonts w:hint="eastAsia" w:ascii="宋体" w:hAnsi="宋体" w:cs="宋体"/>
                <w:sz w:val="24"/>
              </w:rPr>
              <w:t>2TB硬盘；</w:t>
            </w:r>
            <w:r>
              <w:rPr>
                <w:rFonts w:hint="eastAsia" w:ascii="宋体" w:hAnsi="宋体" w:cs="宋体"/>
                <w:color w:val="000000"/>
                <w:kern w:val="0"/>
                <w:sz w:val="24"/>
              </w:rPr>
              <w:t>▲</w:t>
            </w:r>
            <w:r>
              <w:rPr>
                <w:rFonts w:hint="eastAsia" w:ascii="宋体" w:hAnsi="宋体" w:cs="宋体"/>
                <w:sz w:val="24"/>
              </w:rPr>
              <w:t>包含</w:t>
            </w:r>
            <w:r>
              <w:rPr>
                <w:rFonts w:hint="eastAsia" w:ascii="宋体" w:hAnsi="宋体" w:cs="宋体"/>
                <w:color w:val="000000"/>
                <w:sz w:val="24"/>
              </w:rPr>
              <w:t>≥</w:t>
            </w:r>
            <w:r>
              <w:rPr>
                <w:rFonts w:hint="eastAsia" w:ascii="宋体" w:hAnsi="宋体" w:cs="宋体"/>
                <w:sz w:val="24"/>
              </w:rPr>
              <w:t>50个日志源授权，含三年软件升级服务和三年硬件维保服务。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45"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Cs/>
                <w:kern w:val="0"/>
                <w:sz w:val="24"/>
              </w:rPr>
            </w:pPr>
            <w:r>
              <w:rPr>
                <w:rFonts w:hint="eastAsia" w:ascii="宋体" w:hAnsi="宋体" w:cs="宋体"/>
                <w:kern w:val="0"/>
                <w:sz w:val="24"/>
              </w:rPr>
              <w:t>使用模式</w:t>
            </w: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sz w:val="24"/>
              </w:rPr>
            </w:pPr>
            <w:r>
              <w:rPr>
                <w:rFonts w:hint="eastAsia" w:ascii="宋体" w:hAnsi="宋体" w:cs="宋体"/>
                <w:sz w:val="24"/>
              </w:rPr>
              <w:t>采用B/S模式，无需安装客户端，使用WEB浏览器访问管理中心，浏览器端无需安装Java运行环境。支持chrome浏览。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45"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kern w:val="0"/>
                <w:sz w:val="24"/>
              </w:rPr>
            </w:pPr>
            <w:r>
              <w:rPr>
                <w:rFonts w:hint="eastAsia" w:ascii="宋体" w:hAnsi="宋体" w:cs="宋体"/>
                <w:kern w:val="0"/>
                <w:sz w:val="24"/>
              </w:rPr>
              <w:t>管理范围</w:t>
            </w: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sz w:val="24"/>
              </w:rPr>
            </w:pPr>
            <w:r>
              <w:rPr>
                <w:rFonts w:hint="eastAsia" w:ascii="宋体" w:hAnsi="宋体" w:cs="宋体"/>
                <w:kern w:val="0"/>
                <w:sz w:val="24"/>
              </w:rPr>
              <w:t>能够对企业和组织的IT资源中构成业务信息系统的各种网络设备、安全设备、安全系统、主机操作系统、虚拟化、云计算、数据库、中间件以及各种应用系统的日志、事件、告警等安全信息进行全面的审计。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45"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kern w:val="0"/>
                <w:sz w:val="24"/>
              </w:rPr>
            </w:pPr>
            <w:r>
              <w:rPr>
                <w:rFonts w:hint="eastAsia" w:ascii="宋体" w:hAnsi="宋体" w:cs="宋体"/>
                <w:sz w:val="24"/>
              </w:rPr>
              <w:t>审计对象</w:t>
            </w: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kern w:val="0"/>
                <w:sz w:val="24"/>
              </w:rPr>
            </w:pPr>
            <w:r>
              <w:rPr>
                <w:rFonts w:hint="eastAsia" w:ascii="宋体" w:hAnsi="宋体" w:cs="宋体"/>
                <w:kern w:val="0"/>
                <w:sz w:val="24"/>
              </w:rPr>
              <w:t>支持审计各种网络设备（路由器、交换机等）配置日志、运行日志、告警日志等；</w:t>
            </w:r>
          </w:p>
          <w:p>
            <w:pPr>
              <w:widowControl/>
              <w:adjustRightInd w:val="0"/>
              <w:snapToGrid w:val="0"/>
              <w:spacing w:line="420" w:lineRule="exact"/>
              <w:rPr>
                <w:rFonts w:ascii="宋体" w:hAnsi="宋体" w:cs="宋体"/>
                <w:kern w:val="0"/>
                <w:sz w:val="24"/>
              </w:rPr>
            </w:pPr>
            <w:r>
              <w:rPr>
                <w:rFonts w:hint="eastAsia" w:ascii="宋体" w:hAnsi="宋体" w:cs="宋体"/>
                <w:kern w:val="0"/>
                <w:sz w:val="24"/>
              </w:rPr>
              <w:t>支持审计各种安全设备（防火墙、IDS、IPS、VPN、防病毒网关，网闸，防DDOS攻击，Web应用防火墙、等）配置日志、运行日志、告警日志等；</w:t>
            </w:r>
          </w:p>
          <w:p>
            <w:pPr>
              <w:widowControl/>
              <w:adjustRightInd w:val="0"/>
              <w:snapToGrid w:val="0"/>
              <w:spacing w:line="420" w:lineRule="exact"/>
              <w:rPr>
                <w:rFonts w:ascii="宋体" w:hAnsi="宋体" w:cs="宋体"/>
                <w:kern w:val="0"/>
                <w:sz w:val="24"/>
              </w:rPr>
            </w:pPr>
            <w:r>
              <w:rPr>
                <w:rFonts w:hint="eastAsia" w:ascii="宋体" w:hAnsi="宋体" w:cs="宋体"/>
                <w:kern w:val="0"/>
                <w:sz w:val="24"/>
              </w:rPr>
              <w:t>支持审计主机各种操作系统（包括Windows、Solaris、Linux、AIX、HP-UX、UNIX、AS400）配置日志、运行日志、告警日志等；</w:t>
            </w:r>
          </w:p>
          <w:p>
            <w:pPr>
              <w:widowControl/>
              <w:adjustRightInd w:val="0"/>
              <w:snapToGrid w:val="0"/>
              <w:spacing w:line="420" w:lineRule="exact"/>
              <w:rPr>
                <w:rFonts w:ascii="宋体" w:hAnsi="宋体" w:cs="宋体"/>
                <w:kern w:val="0"/>
                <w:sz w:val="24"/>
              </w:rPr>
            </w:pPr>
            <w:r>
              <w:rPr>
                <w:rFonts w:hint="eastAsia" w:ascii="宋体" w:hAnsi="宋体" w:cs="宋体"/>
                <w:kern w:val="0"/>
                <w:sz w:val="24"/>
              </w:rPr>
              <w:t>支持审计各种数据库（Oracle、Sqlserver、Mysql、DB2、Sybase、Informix）配置日志、运行日志、告警日志等；</w:t>
            </w:r>
          </w:p>
          <w:p>
            <w:pPr>
              <w:widowControl/>
              <w:adjustRightInd w:val="0"/>
              <w:snapToGrid w:val="0"/>
              <w:spacing w:line="420" w:lineRule="exact"/>
              <w:rPr>
                <w:rFonts w:ascii="宋体" w:hAnsi="宋体" w:cs="宋体"/>
                <w:kern w:val="0"/>
                <w:sz w:val="24"/>
              </w:rPr>
            </w:pPr>
            <w:r>
              <w:rPr>
                <w:rFonts w:hint="eastAsia" w:ascii="宋体" w:hAnsi="宋体" w:cs="宋体"/>
                <w:kern w:val="0"/>
                <w:sz w:val="24"/>
              </w:rPr>
              <w:t>支持审计各种中间件（Tomcat、Apache、Webshpere、 Weblogic等）配置日志、运行日志、告警日志等；</w:t>
            </w:r>
          </w:p>
          <w:p>
            <w:pPr>
              <w:widowControl/>
              <w:adjustRightInd w:val="0"/>
              <w:snapToGrid w:val="0"/>
              <w:spacing w:line="420" w:lineRule="exact"/>
              <w:rPr>
                <w:rFonts w:ascii="宋体" w:hAnsi="宋体" w:cs="宋体"/>
                <w:kern w:val="0"/>
                <w:sz w:val="24"/>
              </w:rPr>
            </w:pPr>
            <w:r>
              <w:rPr>
                <w:rFonts w:hint="eastAsia" w:ascii="宋体" w:hAnsi="宋体" w:cs="宋体"/>
                <w:kern w:val="0"/>
                <w:sz w:val="24"/>
              </w:rPr>
              <w:t>支持各种应用各种应用系统（邮件，Web，FTP，Telnet、等）配置日志、运行日志、告警日志等；</w:t>
            </w:r>
          </w:p>
          <w:p>
            <w:pPr>
              <w:widowControl/>
              <w:adjustRightInd w:val="0"/>
              <w:snapToGrid w:val="0"/>
              <w:spacing w:line="420" w:lineRule="exact"/>
              <w:rPr>
                <w:rFonts w:ascii="宋体" w:hAnsi="宋体" w:cs="宋体"/>
                <w:sz w:val="24"/>
              </w:rPr>
            </w:pPr>
            <w:r>
              <w:rPr>
                <w:rFonts w:hint="eastAsia" w:ascii="宋体" w:hAnsi="宋体" w:cs="宋体"/>
                <w:kern w:val="0"/>
                <w:sz w:val="24"/>
              </w:rPr>
              <w:t>以及用户自己的业务系统的日志、事件、告警等安全信息.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45" w:type="pct"/>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kern w:val="0"/>
                <w:sz w:val="24"/>
              </w:rPr>
            </w:pPr>
            <w:r>
              <w:rPr>
                <w:rFonts w:hint="eastAsia" w:ascii="宋体" w:hAnsi="宋体" w:cs="宋体"/>
                <w:sz w:val="24"/>
              </w:rPr>
              <w:t>日志采集与转发</w:t>
            </w: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sz w:val="24"/>
              </w:rPr>
            </w:pPr>
            <w:r>
              <w:rPr>
                <w:rFonts w:hint="eastAsia" w:ascii="宋体" w:hAnsi="宋体" w:cs="宋体"/>
                <w:sz w:val="24"/>
              </w:rPr>
              <w:t>支持通过Syslog、Syslog-NG、SNMP Trap、Netflow V5、JDBC、Agent代理、WMI、(S)FTP、NetBIOS、文件\文件夹读取、Kafka等多种方式完成各种日志的收集功能，支持多行日志采集合并为一行；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sz w:val="24"/>
              </w:rPr>
            </w:pPr>
            <w:r>
              <w:rPr>
                <w:rFonts w:hint="eastAsia" w:ascii="宋体" w:hAnsi="宋体" w:cs="宋体"/>
                <w:sz w:val="24"/>
              </w:rPr>
              <w:t>支持按照Syslog-NG标准及自有格式进行转发，转发时包含原始日志源IP地址；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45" w:type="pct"/>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kern w:val="0"/>
                <w:sz w:val="24"/>
              </w:rPr>
            </w:pPr>
            <w:r>
              <w:rPr>
                <w:rFonts w:hint="eastAsia" w:ascii="宋体" w:hAnsi="宋体" w:cs="宋体"/>
                <w:kern w:val="0"/>
                <w:sz w:val="24"/>
              </w:rPr>
              <w:t>资产管理</w:t>
            </w: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sz w:val="24"/>
              </w:rPr>
            </w:pPr>
            <w:r>
              <w:rPr>
                <w:rFonts w:hint="eastAsia" w:ascii="宋体" w:hAnsi="宋体" w:cs="宋体"/>
                <w:sz w:val="24"/>
              </w:rPr>
              <w:t>能够将资产按照多种维度进行分组、分域管理，如地理位置、组织结构、业务系统等，提供便捷的添加、修改、删除、查询与统计功能，支持资产组可以在页面不同的分组中移动。</w:t>
            </w:r>
          </w:p>
          <w:p>
            <w:pPr>
              <w:widowControl/>
              <w:adjustRightInd w:val="0"/>
              <w:snapToGrid w:val="0"/>
              <w:spacing w:line="420" w:lineRule="exact"/>
              <w:rPr>
                <w:rFonts w:ascii="宋体" w:hAnsi="宋体" w:cs="宋体"/>
                <w:sz w:val="24"/>
              </w:rPr>
            </w:pPr>
            <w:r>
              <w:rPr>
                <w:rFonts w:hint="eastAsia" w:ascii="宋体" w:hAnsi="宋体" w:cs="宋体"/>
                <w:sz w:val="24"/>
              </w:rPr>
              <w:t>支持资产信息的批量导入和导出，便于安全管理和系统管理人员能方便地查找所需设备资产的信息，并对资产进行CIA赋值，自动计算资产价值，设置等保等级；在资产管理界面可查看每个资产的属性信息，情境信息，本身产生的事件信息、关联告警信息；</w:t>
            </w:r>
          </w:p>
          <w:p>
            <w:pPr>
              <w:widowControl/>
              <w:adjustRightInd w:val="0"/>
              <w:snapToGrid w:val="0"/>
              <w:spacing w:line="420" w:lineRule="exact"/>
              <w:rPr>
                <w:rFonts w:ascii="宋体" w:hAnsi="宋体" w:cs="宋体"/>
                <w:sz w:val="24"/>
              </w:rPr>
            </w:pPr>
            <w:r>
              <w:rPr>
                <w:rFonts w:hint="eastAsia" w:ascii="宋体" w:hAnsi="宋体" w:cs="宋体"/>
                <w:sz w:val="24"/>
              </w:rPr>
              <w:t>支持对资产日志进行过滤，设置允许接收和拒绝接收日志，并可以对资产设置一定时间范围内未收到事件后进行主动告警。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sz w:val="24"/>
              </w:rPr>
            </w:pPr>
            <w:r>
              <w:rPr>
                <w:rFonts w:hint="eastAsia" w:ascii="宋体" w:hAnsi="宋体" w:cs="宋体"/>
                <w:sz w:val="24"/>
              </w:rPr>
              <w:t>支持对资产IP地址（含内网IP）的地理信息进行管理，设置单IP及IP段行政区及经纬度，支持地图显示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kern w:val="0"/>
                <w:sz w:val="24"/>
              </w:rPr>
            </w:pPr>
            <w:r>
              <w:rPr>
                <w:rFonts w:hint="eastAsia" w:ascii="宋体" w:hAnsi="宋体" w:cs="宋体"/>
                <w:kern w:val="0"/>
                <w:sz w:val="24"/>
              </w:rPr>
              <w:t>支持自定义资产类型及资产属性；支持对资产自定义标签，支持对标签内容进行查询和管理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45" w:type="pct"/>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kern w:val="0"/>
                <w:sz w:val="24"/>
              </w:rPr>
            </w:pPr>
            <w:r>
              <w:rPr>
                <w:rFonts w:hint="eastAsia" w:ascii="宋体" w:hAnsi="宋体" w:cs="宋体"/>
                <w:sz w:val="24"/>
              </w:rPr>
              <w:t>日志归一化</w:t>
            </w: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kern w:val="0"/>
                <w:sz w:val="24"/>
              </w:rPr>
            </w:pPr>
            <w:r>
              <w:rPr>
                <w:rFonts w:hint="eastAsia" w:ascii="宋体" w:hAnsi="宋体" w:cs="宋体"/>
                <w:kern w:val="0"/>
                <w:sz w:val="24"/>
              </w:rPr>
              <w:t>支持对日志进行归一化处理并保留原始日志，方便用户对关键日志快速定位和事后取证；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kern w:val="0"/>
                <w:sz w:val="24"/>
              </w:rPr>
            </w:pPr>
            <w:r>
              <w:rPr>
                <w:rFonts w:hint="eastAsia" w:ascii="宋体" w:hAnsi="宋体" w:cs="宋体"/>
                <w:kern w:val="0"/>
                <w:sz w:val="24"/>
              </w:rPr>
              <w:t>系统提供页面可视化编辑归一化策略，对页面查看的日志编辑归一化策略，所见即所得，也支持通过归一化文件的导入来支持归一化,不需修改系统程序。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kern w:val="0"/>
                <w:sz w:val="24"/>
              </w:rPr>
            </w:pPr>
            <w:r>
              <w:rPr>
                <w:rFonts w:hint="eastAsia" w:ascii="宋体" w:hAnsi="宋体" w:cs="宋体"/>
                <w:kern w:val="0"/>
                <w:sz w:val="24"/>
              </w:rPr>
              <w:t>系统可自动识别收集的日志并自动选择范化策略，也可由人工设置设备的范化策略。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kern w:val="0"/>
                <w:sz w:val="24"/>
              </w:rPr>
            </w:pPr>
            <w:r>
              <w:rPr>
                <w:rFonts w:hint="eastAsia" w:ascii="宋体" w:hAnsi="宋体" w:cs="宋体"/>
                <w:kern w:val="0"/>
                <w:sz w:val="24"/>
              </w:rPr>
              <w:t>解析时间格式字段时能够自动匹配推荐格式。范化绑定支持添加多IP；范化策略可以进行复制操作，下面的二级策略也可以一同复制。新建策略时进行自动编号。字段查询，支持使用汉语拼音首字母查询。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kern w:val="0"/>
                <w:sz w:val="24"/>
              </w:rPr>
            </w:pPr>
            <w:r>
              <w:rPr>
                <w:rFonts w:hint="eastAsia" w:ascii="宋体" w:hAnsi="宋体" w:cs="宋体"/>
                <w:kern w:val="0"/>
                <w:sz w:val="24"/>
              </w:rPr>
              <w:t>支持对日志中的源和目的IP地址进行自动补全，补全IP地址的资产、国家、区域和城市等信息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45" w:type="pct"/>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kern w:val="0"/>
                <w:sz w:val="24"/>
              </w:rPr>
            </w:pPr>
            <w:r>
              <w:rPr>
                <w:rFonts w:hint="eastAsia" w:ascii="宋体" w:hAnsi="宋体" w:cs="宋体"/>
                <w:kern w:val="0"/>
                <w:sz w:val="24"/>
              </w:rPr>
              <w:t>日志交互式分析</w:t>
            </w: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sz w:val="24"/>
              </w:rPr>
            </w:pPr>
            <w:r>
              <w:rPr>
                <w:rFonts w:hint="eastAsia" w:ascii="宋体" w:hAnsi="宋体" w:cs="宋体"/>
                <w:kern w:val="0"/>
                <w:sz w:val="24"/>
              </w:rPr>
              <w:t>系统具备全文检索的大数据处理能力，能够对事件进行非格式化的文本式处理，可将原始信息进行自动索引，快速搜索分析各类安全事件。系统提供即席查询功能，支持归一化字段及关键字搜索，从海量事件原始信息中获取与关键字匹配或部分匹配的所有事件。系统支持基于正则表达式的检索功能，用户可在搜索栏内输入正则表达式，系统可搜索出原始信息中与正则表达式相匹配的所有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kern w:val="0"/>
                <w:sz w:val="24"/>
              </w:rPr>
            </w:pPr>
            <w:r>
              <w:rPr>
                <w:rFonts w:hint="eastAsia" w:ascii="宋体" w:hAnsi="宋体" w:cs="宋体"/>
                <w:kern w:val="0"/>
                <w:sz w:val="24"/>
              </w:rPr>
              <w:t>用户可自定义事件搜索查询条件，并可保存为策略，以树形结构进行组织，形成一个搜索分析策略树；每个查询场景都可以查询策略的形式进行存储。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sz w:val="24"/>
              </w:rPr>
            </w:pPr>
            <w:r>
              <w:rPr>
                <w:rFonts w:hint="eastAsia" w:ascii="宋体" w:hAnsi="宋体" w:cs="宋体"/>
                <w:sz w:val="24"/>
              </w:rPr>
              <w:t>可以显示一段时间的动态事件移动图，能够在图上显示每个时间切片的事件数量，点击该时间切片，可以查看该切片内的所有事件；动态事件移动图可设置动态刷新频率，根据刷新时间显示实时事件；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sz w:val="24"/>
              </w:rPr>
            </w:pPr>
            <w:r>
              <w:rPr>
                <w:rFonts w:hint="eastAsia" w:ascii="宋体" w:hAnsi="宋体" w:cs="宋体"/>
                <w:sz w:val="24"/>
              </w:rPr>
              <w:t>系统支持即席在线查询，支持嵌套查询，可针对查询结果任意回退，收敛事件范围；用户可根据需要配置事件显示的字段内容等。查询结果可支持加密导出；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sz w:val="24"/>
              </w:rPr>
            </w:pPr>
            <w:r>
              <w:rPr>
                <w:rFonts w:hint="eastAsia" w:ascii="宋体" w:hAnsi="宋体" w:cs="宋体"/>
                <w:sz w:val="24"/>
              </w:rPr>
              <w:t>用户点击单条事件，可对该事件进行展开，显示事件详细信息和原始信息；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sz w:val="24"/>
              </w:rPr>
            </w:pPr>
            <w:r>
              <w:rPr>
                <w:rFonts w:hint="eastAsia" w:ascii="宋体" w:hAnsi="宋体" w:cs="宋体"/>
                <w:sz w:val="24"/>
              </w:rPr>
              <w:t>用户点击事件的某一字段，可以该字段及内容为条件在当前事件集中进行事件搜索，显示相应结果；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20" w:lineRule="exact"/>
              <w:rPr>
                <w:rFonts w:ascii="宋体" w:hAnsi="宋体" w:cs="宋体"/>
                <w:sz w:val="24"/>
              </w:rPr>
            </w:pPr>
            <w:r>
              <w:rPr>
                <w:rFonts w:hint="eastAsia" w:ascii="宋体" w:hAnsi="宋体" w:cs="宋体"/>
                <w:sz w:val="24"/>
              </w:rPr>
              <w:t>可以以图形化的方式展示日志属性之间的聚合关系，并支持手动选择日志属性，显示多维事件分析图；属性可增加或减少，且支持图片大小调整。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45" w:type="pct"/>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kern w:val="0"/>
                <w:sz w:val="24"/>
              </w:rPr>
            </w:pPr>
            <w:r>
              <w:rPr>
                <w:rFonts w:hint="eastAsia" w:ascii="宋体" w:hAnsi="宋体" w:cs="宋体"/>
                <w:kern w:val="0"/>
                <w:sz w:val="24"/>
              </w:rPr>
              <w:t>日志统计分析</w:t>
            </w:r>
          </w:p>
        </w:tc>
        <w:tc>
          <w:tcPr>
            <w:tcW w:w="4154" w:type="pct"/>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bCs/>
                <w:kern w:val="0"/>
                <w:sz w:val="24"/>
              </w:rPr>
            </w:pPr>
            <w:r>
              <w:rPr>
                <w:rFonts w:hint="eastAsia" w:ascii="宋体" w:hAnsi="宋体" w:cs="宋体"/>
                <w:bCs/>
                <w:kern w:val="0"/>
                <w:sz w:val="24"/>
              </w:rPr>
              <w:t>可自定义统计场景，统计的字段条件和时间段以及过滤器等可自由设定；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bCs/>
                <w:kern w:val="0"/>
                <w:sz w:val="24"/>
              </w:rPr>
            </w:pPr>
            <w:r>
              <w:rPr>
                <w:rFonts w:hint="eastAsia" w:ascii="宋体" w:hAnsi="宋体" w:cs="宋体"/>
                <w:bCs/>
                <w:kern w:val="0"/>
                <w:sz w:val="24"/>
              </w:rPr>
              <w:t>支持柱状图、饼图、折线图、面积图、堆积图、环状图、数值图、地图、3D地球等形式的统计信息可视化展示，并可将统计结果保存为仪表板和报表等。图表数据支持数据下钻。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bCs/>
                <w:kern w:val="0"/>
                <w:sz w:val="24"/>
              </w:rPr>
            </w:pPr>
            <w:r>
              <w:rPr>
                <w:rFonts w:hint="eastAsia" w:ascii="宋体" w:hAnsi="宋体" w:cs="宋体"/>
                <w:bCs/>
                <w:kern w:val="0"/>
                <w:sz w:val="24"/>
              </w:rPr>
              <w:t>支持将统计结果保存为仪表板、报表和策略。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45" w:type="pc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kern w:val="0"/>
                <w:sz w:val="24"/>
              </w:rPr>
            </w:pPr>
            <w:r>
              <w:rPr>
                <w:rFonts w:hint="eastAsia" w:ascii="宋体" w:hAnsi="宋体" w:cs="宋体"/>
                <w:kern w:val="0"/>
                <w:sz w:val="24"/>
              </w:rPr>
              <w:t>日志综合展现</w:t>
            </w:r>
          </w:p>
        </w:tc>
        <w:tc>
          <w:tcPr>
            <w:tcW w:w="4154" w:type="pct"/>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kern w:val="0"/>
                <w:sz w:val="24"/>
              </w:rPr>
            </w:pPr>
            <w:r>
              <w:rPr>
                <w:rFonts w:hint="eastAsia" w:ascii="宋体" w:hAnsi="宋体" w:cs="宋体"/>
                <w:bCs/>
                <w:kern w:val="0"/>
                <w:sz w:val="24"/>
              </w:rPr>
              <w:t>系统提供可编辑的灵活强大的自定义仪表板；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45" w:type="pct"/>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kern w:val="0"/>
                <w:sz w:val="24"/>
              </w:rPr>
            </w:pPr>
            <w:r>
              <w:rPr>
                <w:rFonts w:hint="eastAsia" w:ascii="宋体" w:hAnsi="宋体" w:cs="宋体"/>
                <w:kern w:val="0"/>
                <w:sz w:val="24"/>
              </w:rPr>
              <w:t>资质</w:t>
            </w:r>
          </w:p>
        </w:tc>
        <w:tc>
          <w:tcPr>
            <w:tcW w:w="4154" w:type="pct"/>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kern w:val="0"/>
                <w:sz w:val="24"/>
              </w:rPr>
            </w:pPr>
            <w:r>
              <w:rPr>
                <w:rFonts w:hint="eastAsia" w:ascii="宋体" w:hAnsi="宋体" w:cs="宋体"/>
                <w:kern w:val="0"/>
                <w:sz w:val="24"/>
              </w:rPr>
              <w:t>《计算机软件著作权登记证书》</w:t>
            </w:r>
            <w:r>
              <w:rPr>
                <w:rFonts w:hint="eastAsia" w:ascii="宋体" w:hAnsi="宋体" w:cs="宋体"/>
                <w:bCs/>
                <w:kern w:val="0"/>
                <w:sz w:val="24"/>
              </w:rPr>
              <w:t>（复印件加盖投标人公章，未提供的作负偏离处理）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4154" w:type="pct"/>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kern w:val="0"/>
                <w:sz w:val="24"/>
              </w:rPr>
            </w:pPr>
            <w:r>
              <w:rPr>
                <w:rFonts w:hint="eastAsia" w:ascii="宋体" w:hAnsi="宋体" w:cs="宋体"/>
                <w:sz w:val="24"/>
              </w:rPr>
              <w:t>★产品具备公安部网络安全保卫局颁发《计算机信息系统专用产品销售许可证》网络通信安全审计类（增强级）</w:t>
            </w:r>
            <w:r>
              <w:rPr>
                <w:rFonts w:hint="eastAsia" w:ascii="宋体" w:hAnsi="宋体" w:cs="宋体"/>
                <w:b/>
                <w:sz w:val="24"/>
              </w:rPr>
              <w:t>(需提供证书复印件)</w:t>
            </w:r>
          </w:p>
        </w:tc>
      </w:tr>
    </w:tbl>
    <w:p>
      <w:pPr>
        <w:spacing w:line="420" w:lineRule="exact"/>
        <w:rPr>
          <w:rFonts w:ascii="宋体" w:hAnsi="宋体"/>
          <w:iCs/>
          <w:sz w:val="24"/>
        </w:rPr>
      </w:pPr>
    </w:p>
    <w:p>
      <w:pPr>
        <w:rPr>
          <w:rFonts w:ascii="宋体" w:hAnsi="宋体" w:cs="楷体_GB2312"/>
          <w:iCs/>
          <w:sz w:val="24"/>
        </w:rPr>
      </w:pPr>
      <w:r>
        <w:rPr>
          <w:rFonts w:hint="eastAsia" w:ascii="宋体" w:hAnsi="宋体" w:cs="楷体_GB2312"/>
          <w:iCs/>
          <w:sz w:val="24"/>
        </w:rPr>
        <w:t>4.堡垒机</w:t>
      </w:r>
    </w:p>
    <w:tbl>
      <w:tblPr>
        <w:tblStyle w:val="20"/>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
                <w:bCs/>
                <w:sz w:val="24"/>
              </w:rPr>
            </w:pPr>
            <w:r>
              <w:rPr>
                <w:rFonts w:hint="eastAsia" w:ascii="宋体" w:hAnsi="宋体" w:cs="宋体"/>
                <w:b/>
                <w:bCs/>
                <w:sz w:val="24"/>
              </w:rPr>
              <w:t>指标项</w:t>
            </w:r>
          </w:p>
        </w:tc>
        <w:tc>
          <w:tcPr>
            <w:tcW w:w="7654" w:type="dxa"/>
            <w:tcBorders>
              <w:top w:val="single" w:color="auto" w:sz="4" w:space="0"/>
              <w:left w:val="single" w:color="auto" w:sz="4" w:space="0"/>
              <w:bottom w:val="single" w:color="auto" w:sz="4" w:space="0"/>
              <w:right w:val="single" w:color="auto" w:sz="4" w:space="0"/>
            </w:tcBorders>
          </w:tcPr>
          <w:p>
            <w:pPr>
              <w:spacing w:line="420" w:lineRule="exact"/>
              <w:jc w:val="center"/>
              <w:rPr>
                <w:rFonts w:ascii="宋体" w:hAnsi="宋体" w:cs="宋体"/>
                <w:b/>
                <w:bCs/>
                <w:sz w:val="24"/>
              </w:rPr>
            </w:pPr>
            <w:r>
              <w:rPr>
                <w:rFonts w:hint="eastAsia" w:ascii="宋体" w:hAnsi="宋体" w:cs="宋体"/>
                <w:b/>
                <w:bCs/>
                <w:sz w:val="24"/>
              </w:rPr>
              <w:t>详细参数要求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color w:val="000000"/>
                <w:kern w:val="0"/>
                <w:sz w:val="24"/>
              </w:rPr>
              <w:t>▲</w:t>
            </w:r>
            <w:r>
              <w:rPr>
                <w:rFonts w:hint="eastAsia" w:ascii="宋体" w:hAnsi="宋体" w:cs="宋体"/>
                <w:sz w:val="24"/>
              </w:rPr>
              <w:t>配置</w:t>
            </w: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bCs/>
                <w:sz w:val="24"/>
              </w:rPr>
              <w:t>标配接口≥6个千兆电口,支持2个接口扩展槽位，内置≥2TB硬盘，最大支持150路图形会话或400路字符会话并发。授权50个被管资源数；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身份认证</w:t>
            </w: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支持多因子认证，包括手机令牌、手机短信、动态令牌、国密USBKey、指纹识别等方式</w:t>
            </w:r>
            <w:r>
              <w:rPr>
                <w:rFonts w:hint="eastAsia" w:ascii="宋体" w:hAnsi="宋体" w:cs="宋体"/>
                <w:b/>
                <w:sz w:val="24"/>
              </w:rPr>
              <w:t>（需提供相关截图证明）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支持微信小程序动态口令认证方式登录堡垒机，且当用户需要使用手机令牌登录时，需要强制绑定手机令牌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用户管理</w:t>
            </w: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系统内置部门管理员、策略管理员、审计管理员、运维员等角色，并支持按模块和功能自定义角色权限，便于管理，用于复杂的业务场景需求；支持角色权限细粒度划分，包括新建部门、安全配置、网络配置、HA配置、端口配置、外发配置、认证配置、工单配置、告警配置、系统风格等权限划分</w:t>
            </w:r>
            <w:r>
              <w:rPr>
                <w:rFonts w:hint="eastAsia" w:ascii="宋体" w:hAnsi="宋体" w:cs="宋体"/>
                <w:b/>
                <w:sz w:val="24"/>
              </w:rPr>
              <w:t>（需提供相关截图证明）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资源管理</w:t>
            </w: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支持的运维协议包含SSH、RDP、VNC、Telnet、FTP、SCP、SFTP、DB2、MySQL、Oracle、SQL Server、Rlogin、DM、Redis等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支持云主机资源批量导入，包括阿里云、百度云、华为云、腾讯云、Ucloud、AWS、Azure云平台的资源，支持设置优先导入公网和内网IP设置，支持导入同时批量新建标签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针对核心设备可配置双人授权，需要管理员现场审批才能访问资源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支持对MySQL、Oracle和达梦数据库的访问操作进行控制，可基于库、表、命令实现对数据库操作的细粒度访问控制，执行动作包括但不限于断开连接、拒绝执行、动态授权、允许执行</w:t>
            </w:r>
            <w:r>
              <w:rPr>
                <w:rFonts w:hint="eastAsia" w:ascii="宋体" w:hAnsi="宋体" w:cs="宋体"/>
                <w:b/>
                <w:sz w:val="24"/>
              </w:rPr>
              <w:t>（需提供相关截图证明）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资源运维</w:t>
            </w: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不限操作系统类型，无需安装任何客户端插件，使用浏览器通过H5方式即可直接运维SSH、RDP、Telnet、VNC、Rlogin和SFTP资源</w:t>
            </w:r>
            <w:r>
              <w:rPr>
                <w:rFonts w:hint="eastAsia" w:ascii="宋体" w:hAnsi="宋体" w:cs="宋体"/>
                <w:b/>
                <w:sz w:val="24"/>
              </w:rPr>
              <w:t>（需提供相关截图证明）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7654" w:type="dxa"/>
            <w:tcBorders>
              <w:top w:val="single" w:color="auto" w:sz="4" w:space="0"/>
              <w:left w:val="single" w:color="auto" w:sz="4" w:space="0"/>
              <w:bottom w:val="single" w:color="auto" w:sz="4" w:space="0"/>
              <w:right w:val="single" w:color="auto" w:sz="4" w:space="0"/>
            </w:tcBorders>
          </w:tcPr>
          <w:p>
            <w:pPr>
              <w:spacing w:line="420" w:lineRule="exact"/>
              <w:ind w:left="-1260" w:leftChars="-600"/>
              <w:rPr>
                <w:rFonts w:ascii="宋体" w:hAnsi="宋体" w:cs="宋体"/>
                <w:sz w:val="24"/>
              </w:rPr>
            </w:pPr>
            <w:r>
              <w:rPr>
                <w:rFonts w:hint="eastAsia" w:ascii="宋体" w:hAnsi="宋体" w:cs="宋体"/>
                <w:sz w:val="24"/>
              </w:rPr>
              <w:t>支持SSH、RDP、TELNET、VNC协议资源的批量登录功能，并且支持混合协议的批量登录，支持同时在一个页面运维不同协议的资源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支持以云盘形式在堡垒机上存储常用文件，实现操作端、堡垒机和目标资源三者之间文件共享（支持多文件和文件夹下载，文件展示最近修改时间和权限）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工单管理</w:t>
            </w: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申请工单支持文件管理、RDP剪切板、磁盘映射、键盘审计、剪切板审计（上行、下行）、显示水印、上传、下载权限、OCR识别申请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支持管理员对工单的修改，管理员可以对自己审批节点的工单内容进行修改，增加或者取消非必要权限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审计日志</w:t>
            </w: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支持对实时会话进行无延时的实时监控和切断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支持采用OCR识别技术，可以识别图形操作中的操作系统文字、应用软件文字、浏览器文字等文本信息，支持设置识别精细度和识别间隔时间，以平衡性能开销和识别精度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支持水印功能，用户在运维或者是监控、查看会话时，H5页面会将用户的登录名作为水印展示，避免数据泄露无法追责，支持在H5运维SSH、RDP、TELNET、VNC、应用发布等资源时显示水印</w:t>
            </w:r>
            <w:r>
              <w:rPr>
                <w:rFonts w:hint="eastAsia" w:ascii="宋体" w:hAnsi="宋体" w:cs="宋体"/>
                <w:b/>
                <w:sz w:val="24"/>
              </w:rPr>
              <w:t>（需提供相关截图证明）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系统管理</w:t>
            </w: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支持自定义系统事件的告警等级及方式，例如系统消息、邮件、手机短信，支持告警等级细粒度配置，例如CPU使用率超过50%为中风险告警，CPU使用率超过90%为高风险告警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产品需支持专属手机app远程管理（非浏览器方式），可在app端实现用户管理、主机管理、工单审批、告警消息、会话管理等功能</w:t>
            </w:r>
            <w:r>
              <w:rPr>
                <w:rFonts w:hint="eastAsia" w:ascii="宋体" w:hAnsi="宋体" w:cs="宋体"/>
                <w:b/>
                <w:sz w:val="24"/>
              </w:rPr>
              <w:t>（需提供app功能截图证明并）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p>
          <w:p>
            <w:pPr>
              <w:spacing w:line="420" w:lineRule="exact"/>
              <w:jc w:val="center"/>
              <w:rPr>
                <w:rFonts w:ascii="宋体" w:hAnsi="宋体" w:cs="宋体"/>
                <w:sz w:val="24"/>
              </w:rPr>
            </w:pPr>
          </w:p>
          <w:p>
            <w:pPr>
              <w:spacing w:line="420" w:lineRule="exact"/>
              <w:jc w:val="center"/>
              <w:rPr>
                <w:rFonts w:ascii="宋体" w:hAnsi="宋体" w:cs="宋体"/>
                <w:sz w:val="24"/>
              </w:rPr>
            </w:pPr>
            <w:r>
              <w:rPr>
                <w:rFonts w:hint="eastAsia" w:ascii="宋体" w:hAnsi="宋体" w:cs="宋体"/>
                <w:sz w:val="24"/>
              </w:rPr>
              <w:t>★资质</w:t>
            </w: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color w:val="000000"/>
                <w:sz w:val="24"/>
                <w:shd w:val="clear" w:color="auto" w:fill="FFFFFF"/>
              </w:rPr>
              <w:t>具备中国电子工业标准化技术协会信息技术服务分会颁发《ITSS运行维护符合性证书》二级</w:t>
            </w:r>
            <w:r>
              <w:rPr>
                <w:rFonts w:hint="eastAsia" w:ascii="宋体" w:hAnsi="宋体" w:cs="宋体"/>
                <w:b/>
                <w:color w:val="000000"/>
                <w:sz w:val="24"/>
                <w:shd w:val="clear" w:color="auto" w:fill="FFFFFF"/>
              </w:rPr>
              <w:t>(需提供证书复印件)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color w:val="000000"/>
                <w:sz w:val="24"/>
                <w:shd w:val="clear" w:color="auto" w:fill="FFFFFF"/>
              </w:rPr>
            </w:pPr>
            <w:r>
              <w:rPr>
                <w:rFonts w:hint="eastAsia" w:ascii="宋体" w:hAnsi="宋体" w:cs="宋体"/>
                <w:color w:val="000000"/>
                <w:sz w:val="24"/>
                <w:shd w:val="clear" w:color="auto" w:fill="FFFFFF"/>
              </w:rPr>
              <w:t>产品生产厂商具备中国网络安全审查技术与认证中心颁发《信息安全服务资质-软件安全开发》（一级）</w:t>
            </w:r>
            <w:r>
              <w:rPr>
                <w:rFonts w:hint="eastAsia" w:ascii="宋体" w:hAnsi="宋体" w:cs="宋体"/>
                <w:b/>
                <w:color w:val="000000"/>
                <w:sz w:val="24"/>
                <w:shd w:val="clear" w:color="auto" w:fill="FFFFFF"/>
              </w:rPr>
              <w:t>(需提供证书复印件)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sz w:val="24"/>
              </w:rPr>
              <w:t>产品生产厂商具备中国信息安全测评中心颁发的信息安全服务资质证书（安全工程类不低于三级）</w:t>
            </w:r>
            <w:r>
              <w:rPr>
                <w:rFonts w:hint="eastAsia" w:ascii="宋体" w:hAnsi="宋体" w:cs="宋体"/>
                <w:b/>
                <w:sz w:val="24"/>
              </w:rPr>
              <w:t>(需提供证书复印件)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765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color w:val="000000"/>
                <w:sz w:val="24"/>
                <w:shd w:val="clear" w:color="auto" w:fill="FFFFFF"/>
              </w:rPr>
              <w:t>产品生产厂商参与信息安全等级保护关键技术国家工程实验室共建协议</w:t>
            </w:r>
            <w:r>
              <w:rPr>
                <w:rFonts w:hint="eastAsia" w:ascii="宋体" w:hAnsi="宋体" w:cs="宋体"/>
                <w:b/>
                <w:color w:val="000000"/>
                <w:sz w:val="24"/>
                <w:shd w:val="clear" w:color="auto" w:fill="FFFFFF"/>
              </w:rPr>
              <w:t>(需提供证书复印件)。</w:t>
            </w:r>
          </w:p>
        </w:tc>
      </w:tr>
    </w:tbl>
    <w:p>
      <w:pPr>
        <w:spacing w:line="420" w:lineRule="exact"/>
        <w:rPr>
          <w:rFonts w:ascii="宋体" w:hAnsi="宋体"/>
          <w:iCs/>
          <w:sz w:val="24"/>
        </w:rPr>
      </w:pPr>
    </w:p>
    <w:p>
      <w:pPr>
        <w:rPr>
          <w:rFonts w:ascii="宋体" w:hAnsi="宋体" w:cs="楷体_GB2312"/>
          <w:iCs/>
          <w:sz w:val="24"/>
        </w:rPr>
      </w:pPr>
      <w:r>
        <w:rPr>
          <w:rFonts w:hint="eastAsia" w:ascii="宋体" w:hAnsi="宋体" w:cs="楷体_GB2312"/>
          <w:iCs/>
          <w:sz w:val="24"/>
        </w:rPr>
        <w:t>5.杀毒软件</w:t>
      </w:r>
    </w:p>
    <w:tbl>
      <w:tblPr>
        <w:tblStyle w:val="19"/>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7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b/>
                <w:bCs/>
                <w:kern w:val="0"/>
                <w:sz w:val="24"/>
              </w:rPr>
            </w:pPr>
            <w:r>
              <w:rPr>
                <w:rFonts w:hint="eastAsia" w:ascii="宋体" w:hAnsi="宋体" w:cs="宋体"/>
                <w:b/>
                <w:bCs/>
                <w:kern w:val="0"/>
                <w:sz w:val="24"/>
              </w:rPr>
              <w:t>指标项</w:t>
            </w: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b/>
                <w:bCs/>
                <w:kern w:val="0"/>
                <w:sz w:val="24"/>
              </w:rPr>
            </w:pPr>
            <w:r>
              <w:rPr>
                <w:rFonts w:hint="eastAsia" w:ascii="宋体" w:hAnsi="宋体" w:cs="宋体"/>
                <w:b/>
                <w:bCs/>
                <w:kern w:val="0"/>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rPr>
            </w:pPr>
            <w:r>
              <w:rPr>
                <w:rFonts w:hint="eastAsia" w:ascii="宋体" w:hAnsi="宋体" w:cs="宋体"/>
                <w:kern w:val="0"/>
                <w:sz w:val="24"/>
              </w:rPr>
              <w:t>★平台环境要求</w:t>
            </w: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cs="宋体"/>
                <w:kern w:val="0"/>
                <w:sz w:val="24"/>
              </w:rPr>
            </w:pPr>
            <w:r>
              <w:rPr>
                <w:rFonts w:hint="eastAsia" w:ascii="宋体" w:hAnsi="宋体" w:cs="宋体"/>
                <w:kern w:val="0"/>
                <w:sz w:val="24"/>
              </w:rPr>
              <w:t>管理中心操作系统支持Windows Server 2012 R2/2016/2019/2022的64位版本（简体中文版）；客户端支持windows pc、Windows Server、linux、mac、国产化等系统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rPr>
            </w:pPr>
            <w:r>
              <w:rPr>
                <w:rFonts w:hint="eastAsia" w:ascii="宋体" w:hAnsi="宋体" w:cs="宋体"/>
                <w:kern w:val="0"/>
                <w:sz w:val="24"/>
              </w:rPr>
              <w:t>产品形态</w:t>
            </w: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软件版本。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rPr>
            </w:pPr>
            <w:r>
              <w:rPr>
                <w:rFonts w:hint="eastAsia" w:ascii="宋体" w:hAnsi="宋体" w:cs="宋体"/>
                <w:color w:val="000000"/>
                <w:kern w:val="0"/>
                <w:sz w:val="24"/>
              </w:rPr>
              <w:t>▲</w:t>
            </w:r>
            <w:r>
              <w:rPr>
                <w:rFonts w:hint="eastAsia" w:ascii="宋体" w:hAnsi="宋体" w:cs="宋体"/>
                <w:kern w:val="0"/>
                <w:sz w:val="24"/>
              </w:rPr>
              <w:t>授权要求</w:t>
            </w: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本项目要求提供windows 终端200台；服务器 windows server 11台，Liunx 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rPr>
            </w:pPr>
            <w:r>
              <w:rPr>
                <w:rFonts w:hint="eastAsia" w:ascii="宋体" w:hAnsi="宋体" w:cs="宋体"/>
                <w:kern w:val="0"/>
                <w:sz w:val="24"/>
              </w:rPr>
              <w:t>国产化支持</w:t>
            </w: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支持中标麒麟/银河麒麟/普华/深度/红旗桌面操作系统。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rPr>
            </w:pPr>
            <w:r>
              <w:rPr>
                <w:rFonts w:hint="eastAsia" w:ascii="宋体" w:hAnsi="宋体" w:cs="宋体"/>
                <w:kern w:val="0"/>
                <w:sz w:val="24"/>
              </w:rPr>
              <w:t>基础功能</w:t>
            </w: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根据分组、计算机名称、IP地址、MAC地址、通信IP地址、接入点、客户端类型、操作系统类型、操作系统版本等条件的组合筛选出符合条件的终端进行管理，自由对终端进行转移分组、删除终端、重启系统和终端跃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支持自动分组，按IP地址、CPU数量、MEM容量、主机名、计算机工作组等参数进行自动动态调整分组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客户端主程序、病毒库版本支持按分组和多批次进行灰度更新，保持在低风险中完成终端能力更新。支持设置不同终端类型设置和每批次观察时长。当检测到新版本将从第一批次重新观察。</w:t>
            </w:r>
            <w:r>
              <w:rPr>
                <w:rFonts w:hint="eastAsia" w:ascii="宋体" w:hAnsi="宋体" w:cs="宋体"/>
                <w:b/>
                <w:color w:val="000000"/>
                <w:kern w:val="0"/>
                <w:sz w:val="24"/>
              </w:rPr>
              <w:t>（提供产品功能截图）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rPr>
            </w:pPr>
            <w:r>
              <w:rPr>
                <w:rFonts w:hint="eastAsia" w:ascii="宋体" w:hAnsi="宋体" w:cs="宋体"/>
                <w:kern w:val="0"/>
                <w:sz w:val="24"/>
              </w:rPr>
              <w:t>安全小助手</w:t>
            </w: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支持手动扫描和清理软件安装残留文件以及系统历史记录文件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支持检测系统启动项、服务项、计划任务，并支持启动项的优化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rPr>
            </w:pPr>
            <w:r>
              <w:rPr>
                <w:rFonts w:hint="eastAsia" w:ascii="宋体" w:hAnsi="宋体" w:cs="宋体"/>
                <w:kern w:val="0"/>
                <w:sz w:val="24"/>
              </w:rPr>
              <w:t>病毒防护</w:t>
            </w: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病毒防护概况：终端基础信息、病毒库版本、发现病毒数、未处理病毒数、最后查杀时间、文件防护状态、引擎使用状态、扩展病毒库版本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支持通过文件数字签名添加黑白名单管理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支持对终端当扫描到感染型病毒、顽固木马时，自动进入深度查模式，可设置禁止终端用户管理路径或文件白名单、禁止终端用户管理扩展名白名单、扫描时不允许终端用户暂停或停止扫描任务。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支持对压缩包内的病毒扫描，支持多层压缩包的扫描，可自定义配置压缩包的扫描层数，至少大约10层模式下的扫描。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支持对进程防护、注册表防护、驱动防护、U盘安全防护、邮件防护、下载防护、IM防护、局域网文件防护、网页安全防护、勒索软件防护。</w:t>
            </w:r>
            <w:r>
              <w:rPr>
                <w:rFonts w:hint="eastAsia" w:ascii="宋体" w:hAnsi="宋体" w:cs="宋体"/>
                <w:b/>
                <w:color w:val="000000"/>
                <w:kern w:val="0"/>
                <w:sz w:val="24"/>
              </w:rPr>
              <w:t>（提供产品功能截图）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支持无文件攻击防护、文档攻击防护、横移渗透攻击防护、内存攻击防护。</w:t>
            </w:r>
            <w:r>
              <w:rPr>
                <w:rFonts w:hint="eastAsia" w:ascii="宋体" w:hAnsi="宋体" w:cs="宋体"/>
                <w:b/>
                <w:color w:val="000000"/>
                <w:kern w:val="0"/>
                <w:sz w:val="24"/>
              </w:rPr>
              <w:t>（提供产品功能截图）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4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rPr>
            </w:pPr>
            <w:r>
              <w:rPr>
                <w:rFonts w:hint="eastAsia" w:ascii="宋体" w:hAnsi="宋体" w:cs="宋体"/>
                <w:kern w:val="0"/>
                <w:sz w:val="24"/>
              </w:rPr>
              <w:t>补丁管理</w:t>
            </w: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支持对Windows操作系统、IE、.NET Framework、Office、Adobe Flash Player、Adobe Acrobat和Adobe Acrobat Reader DC、硬件驱动更新等软件进行补丁修复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管理员预先设置好灰度发布批次和漏洞修复策略（分时间段、按级别、排除有兼容性问题的补丁等），每当控制台更新补丁库，自动化编排完成漏洞修复——将全网终端划分为由小到大的多个批次，根据企业环境，自动先推送给第一个小批次分组，如无问题自动推送给下一个批次，直到推送给全网。如有问题，只需将有问题的补丁添加到排除列表和卸载已安装的终端即可。整个推送安装过程自动化编排，无需管理员过多参与，只需在有问题时添加排除列表和下发卸载补丁任务。</w:t>
            </w:r>
            <w:r>
              <w:rPr>
                <w:rFonts w:hint="eastAsia" w:ascii="宋体" w:hAnsi="宋体" w:cs="宋体"/>
                <w:b/>
                <w:color w:val="000000"/>
                <w:kern w:val="0"/>
                <w:sz w:val="24"/>
              </w:rPr>
              <w:t>（提供产品功能截图）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按照补丁的维度统计补丁安装情况，包括补丁号、系统类型、补丁类型、补丁级别、补丁名称、补丁描述、发布日期、漏洞CVE编号、漏洞CNNVD编号、未安装、已安装、已安装未生效、已排除、未更新补丁库。并支持导出统计报表。</w:t>
            </w:r>
            <w:r>
              <w:rPr>
                <w:rFonts w:hint="eastAsia" w:ascii="宋体" w:hAnsi="宋体" w:cs="宋体"/>
                <w:b/>
                <w:color w:val="000000"/>
                <w:kern w:val="0"/>
                <w:sz w:val="24"/>
              </w:rPr>
              <w:t>（提供产品功能截图）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rPr>
            </w:pPr>
            <w:r>
              <w:rPr>
                <w:rFonts w:hint="eastAsia" w:ascii="宋体" w:hAnsi="宋体" w:cs="宋体"/>
                <w:kern w:val="0"/>
                <w:sz w:val="24"/>
              </w:rPr>
              <w:t>主机防火墙</w:t>
            </w: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支持主机防火墙功能，通过添加IP、域名规则、支持允许/拒绝规则、支持任意流向拦截和允许，支持TCP、UDP、TCP+UDP、ICMP、多播和组播，支持自定义端口范围、支持自定义目标IP，支持输入IP范围。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rPr>
            </w:pPr>
            <w:r>
              <w:rPr>
                <w:rFonts w:hint="eastAsia" w:ascii="宋体" w:hAnsi="宋体" w:cs="宋体"/>
                <w:kern w:val="0"/>
                <w:sz w:val="24"/>
              </w:rPr>
              <w:t>弹窗防护</w:t>
            </w: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支持全屏/非全屏模式拦截已知第三方软件弹窗，拦截所有第三方软件弹窗以及不拦截弹窗。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支持对不同类型主流软件的弹窗进行拦截，终端可定期更新云端弹窗规则库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rPr>
            </w:pPr>
            <w:r>
              <w:rPr>
                <w:rFonts w:hint="eastAsia" w:ascii="宋体" w:hAnsi="宋体" w:cs="宋体"/>
                <w:kern w:val="0"/>
                <w:sz w:val="24"/>
              </w:rPr>
              <w:t>终端管控</w:t>
            </w: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支持对单点维护功能，可远程查看终端实时运行的进程，需要包含进程名称，进程用户、命令行（执行路径+执行参数）、内存占用、支持远程结束进程。支持远程查看计算机各个网卡配置信息。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支持对外设进行多维度的放行，包括设备名称、PID/VID、实例路径，通过添加实现例外或加黑。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支持对终端节能管理，支持对长时间运行、定时关机、空闲节能、工作时间外开机等节能类型设定策略，支持仅提示、关机、注销、锁定、关闭显示器、锁定+关闭显示器、休眠和睡眠处理。并支持提示倒计时弹窗，可设置在终端取消后下一次提醒时间。</w:t>
            </w:r>
            <w:r>
              <w:rPr>
                <w:rFonts w:hint="eastAsia" w:ascii="宋体" w:hAnsi="宋体" w:cs="宋体"/>
                <w:b/>
                <w:color w:val="000000"/>
                <w:kern w:val="0"/>
                <w:sz w:val="24"/>
              </w:rPr>
              <w:t>（提供产品功能截图）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rPr>
            </w:pPr>
            <w:r>
              <w:rPr>
                <w:rFonts w:hint="eastAsia" w:ascii="宋体" w:hAnsi="宋体" w:cs="宋体"/>
                <w:color w:val="000000"/>
                <w:kern w:val="0"/>
                <w:sz w:val="24"/>
              </w:rPr>
              <w:t>▲</w:t>
            </w:r>
            <w:r>
              <w:rPr>
                <w:rFonts w:hint="eastAsia" w:ascii="宋体" w:hAnsi="宋体" w:cs="宋体"/>
                <w:kern w:val="0"/>
                <w:sz w:val="24"/>
              </w:rPr>
              <w:t>联动</w:t>
            </w:r>
          </w:p>
        </w:tc>
        <w:tc>
          <w:tcPr>
            <w:tcW w:w="730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kern w:val="0"/>
                <w:sz w:val="24"/>
              </w:rPr>
            </w:pPr>
            <w:r>
              <w:rPr>
                <w:rFonts w:hint="eastAsia" w:ascii="宋体" w:hAnsi="宋体" w:cs="宋体"/>
                <w:kern w:val="0"/>
                <w:sz w:val="24"/>
              </w:rPr>
              <w:t>本次所投终端安全管理系统支持和防火墙设备联动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4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kern w:val="0"/>
                <w:sz w:val="24"/>
              </w:rPr>
            </w:pPr>
            <w:r>
              <w:rPr>
                <w:rFonts w:hint="eastAsia" w:ascii="宋体" w:hAnsi="宋体" w:cs="宋体"/>
                <w:kern w:val="0"/>
                <w:sz w:val="24"/>
              </w:rPr>
              <w:t>★</w:t>
            </w:r>
            <w:r>
              <w:rPr>
                <w:rFonts w:hint="eastAsia" w:ascii="宋体" w:hAnsi="宋体" w:cs="宋体"/>
                <w:bCs/>
                <w:sz w:val="24"/>
              </w:rPr>
              <w:t>资质要求</w:t>
            </w:r>
          </w:p>
        </w:tc>
        <w:tc>
          <w:tcPr>
            <w:tcW w:w="7304" w:type="dxa"/>
            <w:tcBorders>
              <w:top w:val="single" w:color="auto" w:sz="4" w:space="0"/>
              <w:left w:val="single" w:color="auto" w:sz="4" w:space="0"/>
              <w:bottom w:val="single" w:color="auto" w:sz="4" w:space="0"/>
              <w:right w:val="single" w:color="auto" w:sz="4" w:space="0"/>
            </w:tcBorders>
            <w:vAlign w:val="center"/>
          </w:tcPr>
          <w:p>
            <w:pPr>
              <w:snapToGrid w:val="0"/>
              <w:spacing w:before="62" w:after="62" w:line="420" w:lineRule="exact"/>
              <w:rPr>
                <w:rFonts w:ascii="宋体" w:hAnsi="宋体" w:cs="宋体"/>
                <w:color w:val="000000"/>
                <w:sz w:val="24"/>
              </w:rPr>
            </w:pPr>
            <w:r>
              <w:rPr>
                <w:rFonts w:hint="eastAsia" w:ascii="宋体" w:hAnsi="宋体" w:cs="宋体"/>
                <w:color w:val="000000"/>
                <w:sz w:val="24"/>
              </w:rPr>
              <w:t>产品生产厂商具备国测信息安全服务资质-云计算安全类一级</w:t>
            </w:r>
            <w:r>
              <w:rPr>
                <w:rFonts w:hint="eastAsia" w:ascii="宋体" w:hAnsi="宋体" w:cs="宋体"/>
                <w:b/>
                <w:color w:val="000000"/>
                <w:sz w:val="24"/>
              </w:rPr>
              <w:t>（提供相关证明文件）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color w:val="000000"/>
                <w:sz w:val="24"/>
              </w:rPr>
            </w:pPr>
            <w:r>
              <w:rPr>
                <w:rFonts w:hint="eastAsia" w:ascii="宋体" w:hAnsi="宋体" w:cs="宋体"/>
                <w:sz w:val="24"/>
              </w:rPr>
              <w:t>产品生产厂商获得CNNVD漏洞预警报送专项奖</w:t>
            </w:r>
            <w:r>
              <w:rPr>
                <w:rFonts w:hint="eastAsia" w:ascii="宋体" w:hAnsi="宋体" w:cs="宋体"/>
                <w:b/>
                <w:sz w:val="24"/>
              </w:rPr>
              <w:t>(需提供证书复印件)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sz w:val="24"/>
              </w:rPr>
            </w:pPr>
            <w:r>
              <w:rPr>
                <w:rFonts w:hint="eastAsia" w:ascii="宋体" w:hAnsi="宋体" w:cs="宋体"/>
                <w:color w:val="000000"/>
                <w:sz w:val="24"/>
                <w:shd w:val="clear" w:color="auto" w:fill="FFFFFF"/>
              </w:rPr>
              <w:t>产品生产厂商具备中国网络安全审查技术与认证中心颁发《信息安全服务资质-软件安全开发》（一级）</w:t>
            </w:r>
            <w:r>
              <w:rPr>
                <w:rFonts w:hint="eastAsia" w:ascii="宋体" w:hAnsi="宋体" w:cs="宋体"/>
                <w:b/>
                <w:color w:val="000000"/>
                <w:sz w:val="24"/>
                <w:shd w:val="clear" w:color="auto" w:fill="FFFFFF"/>
              </w:rPr>
              <w:t>(需提供证书复印件)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color w:val="000000"/>
                <w:sz w:val="24"/>
                <w:shd w:val="clear" w:color="auto" w:fill="FFFFFF"/>
              </w:rPr>
            </w:pPr>
            <w:r>
              <w:rPr>
                <w:rFonts w:hint="eastAsia" w:ascii="宋体" w:hAnsi="宋体" w:cs="宋体"/>
                <w:sz w:val="24"/>
              </w:rPr>
              <w:t>产品生产厂商具备中国信息安全测评中心颁发的信息安全服务资质证书（安全工程类不低于三级）</w:t>
            </w:r>
            <w:r>
              <w:rPr>
                <w:rFonts w:hint="eastAsia" w:ascii="宋体" w:hAnsi="宋体" w:cs="宋体"/>
                <w:b/>
                <w:sz w:val="24"/>
              </w:rPr>
              <w:t>(需提供证书复印件)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30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sz w:val="24"/>
              </w:rPr>
            </w:pPr>
            <w:r>
              <w:rPr>
                <w:rFonts w:hint="eastAsia" w:ascii="宋体" w:hAnsi="宋体" w:cs="宋体"/>
                <w:sz w:val="24"/>
              </w:rPr>
              <w:t>产品生产厂商参与信息安全等级保护关键技术国家工程实验室共建协议</w:t>
            </w:r>
            <w:r>
              <w:rPr>
                <w:rFonts w:hint="eastAsia" w:ascii="宋体" w:hAnsi="宋体" w:cs="宋体"/>
                <w:b/>
                <w:sz w:val="24"/>
              </w:rPr>
              <w:t>(需提供证书复印件)</w:t>
            </w:r>
            <w:r>
              <w:rPr>
                <w:rFonts w:hint="eastAsia" w:ascii="宋体" w:hAnsi="宋体" w:cs="宋体"/>
                <w:sz w:val="24"/>
              </w:rPr>
              <w:t>。</w:t>
            </w:r>
          </w:p>
        </w:tc>
      </w:tr>
    </w:tbl>
    <w:p>
      <w:pPr>
        <w:spacing w:line="420" w:lineRule="exact"/>
        <w:rPr>
          <w:rFonts w:ascii="宋体" w:hAnsi="宋体"/>
          <w:iCs/>
          <w:sz w:val="24"/>
        </w:rPr>
      </w:pPr>
    </w:p>
    <w:p>
      <w:pPr>
        <w:spacing w:line="420" w:lineRule="exact"/>
        <w:ind w:firstLine="360" w:firstLineChars="150"/>
        <w:rPr>
          <w:rFonts w:ascii="宋体" w:hAnsi="宋体" w:cs="楷体_GB2312"/>
          <w:iCs/>
          <w:sz w:val="24"/>
        </w:rPr>
      </w:pPr>
      <w:r>
        <w:rPr>
          <w:rFonts w:hint="eastAsia" w:ascii="宋体" w:hAnsi="宋体" w:cs="楷体_GB2312"/>
          <w:iCs/>
          <w:sz w:val="24"/>
        </w:rPr>
        <w:t>6.安全运维服务</w:t>
      </w:r>
    </w:p>
    <w:tbl>
      <w:tblPr>
        <w:tblStyle w:val="19"/>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717"/>
        <w:gridCol w:w="4651"/>
        <w:gridCol w:w="722"/>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1</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sz w:val="24"/>
              </w:rPr>
            </w:pPr>
            <w:r>
              <w:rPr>
                <w:rFonts w:hint="eastAsia" w:ascii="宋体" w:hAnsi="宋体" w:cs="宋体"/>
                <w:color w:val="000000"/>
                <w:kern w:val="0"/>
                <w:sz w:val="24"/>
              </w:rPr>
              <w:t>下一代防火墙入侵防御和防病毒授权维保</w:t>
            </w:r>
          </w:p>
        </w:tc>
        <w:tc>
          <w:tcPr>
            <w:tcW w:w="465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kern w:val="0"/>
                <w:sz w:val="24"/>
              </w:rPr>
            </w:pPr>
            <w:r>
              <w:rPr>
                <w:rFonts w:hint="eastAsia" w:ascii="宋体" w:hAnsi="宋体" w:cs="宋体"/>
                <w:bCs/>
                <w:sz w:val="24"/>
              </w:rPr>
              <w:t>对原有的华为下一代防火墙</w:t>
            </w:r>
            <w:r>
              <w:rPr>
                <w:rFonts w:hint="eastAsia" w:ascii="宋体" w:hAnsi="宋体" w:cs="宋体"/>
                <w:bCs/>
                <w:sz w:val="24"/>
                <w:lang w:val="en-US" w:eastAsia="zh-CN"/>
              </w:rPr>
              <w:t>USG6585E</w:t>
            </w:r>
            <w:r>
              <w:rPr>
                <w:rFonts w:hint="eastAsia" w:ascii="宋体" w:hAnsi="宋体" w:cs="宋体"/>
                <w:bCs/>
                <w:sz w:val="24"/>
              </w:rPr>
              <w:t>中的入侵防御和防病毒模块授权三年维保。</w:t>
            </w:r>
          </w:p>
        </w:tc>
        <w:tc>
          <w:tcPr>
            <w:tcW w:w="72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套</w:t>
            </w:r>
          </w:p>
        </w:tc>
        <w:tc>
          <w:tcPr>
            <w:tcW w:w="7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2</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sz w:val="24"/>
              </w:rPr>
            </w:pPr>
            <w:r>
              <w:rPr>
                <w:rFonts w:hint="eastAsia" w:ascii="宋体" w:hAnsi="宋体" w:cs="宋体"/>
                <w:color w:val="000000"/>
                <w:kern w:val="0"/>
                <w:sz w:val="24"/>
              </w:rPr>
              <w:t>异地数据备份服务</w:t>
            </w:r>
          </w:p>
        </w:tc>
        <w:tc>
          <w:tcPr>
            <w:tcW w:w="4653" w:type="dxa"/>
            <w:tcBorders>
              <w:top w:val="single" w:color="auto" w:sz="4" w:space="0"/>
              <w:left w:val="single" w:color="auto" w:sz="4" w:space="0"/>
              <w:bottom w:val="single" w:color="auto" w:sz="4" w:space="0"/>
              <w:right w:val="single" w:color="auto" w:sz="4" w:space="0"/>
            </w:tcBorders>
          </w:tcPr>
          <w:p>
            <w:pPr>
              <w:spacing w:line="420" w:lineRule="exact"/>
              <w:rPr>
                <w:rFonts w:hint="eastAsia" w:ascii="宋体" w:hAnsi="宋体" w:eastAsia="宋体" w:cs="宋体"/>
                <w:bCs/>
                <w:sz w:val="24"/>
                <w:lang w:val="en-US" w:eastAsia="zh-CN"/>
              </w:rPr>
            </w:pPr>
            <w:r>
              <w:rPr>
                <w:rFonts w:hint="eastAsia" w:ascii="宋体" w:hAnsi="宋体" w:cs="宋体"/>
                <w:bCs/>
                <w:sz w:val="24"/>
              </w:rPr>
              <w:t>按需提供业务，支持完全备份、差异备份、增量备份；支持系统、数据库等整体恢复，也可针对问题数据进行还原，实现业务快速恢复。可分别设置定时任务和备份数据集的保留时间，使备份计划更加合理，含（配套主机）</w:t>
            </w:r>
            <w:r>
              <w:rPr>
                <w:rFonts w:hint="eastAsia" w:ascii="宋体" w:hAnsi="宋体" w:cs="宋体"/>
                <w:bCs/>
                <w:sz w:val="24"/>
                <w:lang w:eastAsia="zh-CN"/>
              </w:rPr>
              <w:t>，通过点对点数据专线连接，备份地点位置在南通以外区域(需提供承诺函)。</w:t>
            </w:r>
          </w:p>
        </w:tc>
        <w:tc>
          <w:tcPr>
            <w:tcW w:w="72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年</w:t>
            </w:r>
          </w:p>
        </w:tc>
        <w:tc>
          <w:tcPr>
            <w:tcW w:w="7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3</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sz w:val="24"/>
              </w:rPr>
            </w:pPr>
            <w:r>
              <w:rPr>
                <w:rFonts w:hint="eastAsia" w:ascii="宋体" w:hAnsi="宋体" w:cs="宋体"/>
                <w:color w:val="000000"/>
                <w:kern w:val="0"/>
                <w:sz w:val="24"/>
              </w:rPr>
              <w:t>安全巡检服务</w:t>
            </w:r>
          </w:p>
        </w:tc>
        <w:tc>
          <w:tcPr>
            <w:tcW w:w="465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bCs/>
                <w:sz w:val="24"/>
              </w:rPr>
            </w:pPr>
            <w:r>
              <w:rPr>
                <w:rFonts w:hint="eastAsia" w:ascii="宋体" w:hAnsi="宋体" w:cs="宋体"/>
                <w:bCs/>
                <w:sz w:val="24"/>
              </w:rPr>
              <w:t>对网络设备和服务器等进行巡检服务，并且根据巡检情况，及时调整安全策略，保证安全设备有效、可靠运行。每季度一次。</w:t>
            </w:r>
          </w:p>
        </w:tc>
        <w:tc>
          <w:tcPr>
            <w:tcW w:w="72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年</w:t>
            </w:r>
          </w:p>
        </w:tc>
        <w:tc>
          <w:tcPr>
            <w:tcW w:w="7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4</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sz w:val="24"/>
              </w:rPr>
            </w:pPr>
            <w:r>
              <w:rPr>
                <w:rFonts w:hint="eastAsia" w:ascii="宋体" w:hAnsi="宋体" w:cs="宋体"/>
                <w:color w:val="000000"/>
                <w:kern w:val="0"/>
                <w:sz w:val="24"/>
              </w:rPr>
              <w:t>漏洞扫描服务</w:t>
            </w:r>
          </w:p>
        </w:tc>
        <w:tc>
          <w:tcPr>
            <w:tcW w:w="465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bCs/>
                <w:sz w:val="24"/>
              </w:rPr>
            </w:pPr>
            <w:r>
              <w:rPr>
                <w:rFonts w:hint="eastAsia" w:ascii="宋体" w:hAnsi="宋体" w:cs="宋体"/>
                <w:bCs/>
                <w:sz w:val="24"/>
              </w:rPr>
              <w:t>对网络设备、服务器操作系统、应用系统进行漏洞扫描，从而可以进行漏洞修复。每季度一次。</w:t>
            </w:r>
          </w:p>
        </w:tc>
        <w:tc>
          <w:tcPr>
            <w:tcW w:w="72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年</w:t>
            </w:r>
          </w:p>
        </w:tc>
        <w:tc>
          <w:tcPr>
            <w:tcW w:w="7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5</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kern w:val="0"/>
                <w:sz w:val="24"/>
              </w:rPr>
            </w:pPr>
            <w:r>
              <w:rPr>
                <w:rFonts w:hint="eastAsia" w:ascii="宋体" w:hAnsi="宋体" w:cs="宋体"/>
                <w:color w:val="000000"/>
                <w:kern w:val="0"/>
                <w:sz w:val="24"/>
              </w:rPr>
              <w:t>安全加固服务</w:t>
            </w:r>
          </w:p>
        </w:tc>
        <w:tc>
          <w:tcPr>
            <w:tcW w:w="465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bCs/>
                <w:sz w:val="24"/>
              </w:rPr>
            </w:pPr>
            <w:r>
              <w:rPr>
                <w:rFonts w:hint="eastAsia" w:ascii="宋体" w:hAnsi="宋体" w:cs="宋体"/>
                <w:bCs/>
                <w:sz w:val="24"/>
              </w:rPr>
              <w:t>对巡检过程中发现的问题进行安全策略调整；对漏洞扫描过程中发现的各种安全隐患，进行安全加固和安全优化。根据甲方实际情况，按需进行。</w:t>
            </w:r>
          </w:p>
        </w:tc>
        <w:tc>
          <w:tcPr>
            <w:tcW w:w="72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年</w:t>
            </w:r>
          </w:p>
        </w:tc>
        <w:tc>
          <w:tcPr>
            <w:tcW w:w="7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6</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kern w:val="0"/>
                <w:sz w:val="24"/>
              </w:rPr>
            </w:pPr>
            <w:r>
              <w:rPr>
                <w:rFonts w:hint="eastAsia" w:ascii="宋体" w:hAnsi="宋体" w:cs="宋体"/>
                <w:color w:val="000000"/>
                <w:kern w:val="0"/>
                <w:sz w:val="24"/>
              </w:rPr>
              <w:t>应急响应服务</w:t>
            </w:r>
          </w:p>
        </w:tc>
        <w:tc>
          <w:tcPr>
            <w:tcW w:w="465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bCs/>
                <w:sz w:val="24"/>
              </w:rPr>
            </w:pPr>
            <w:r>
              <w:rPr>
                <w:rFonts w:hint="eastAsia" w:ascii="宋体" w:hAnsi="宋体"/>
                <w:sz w:val="24"/>
              </w:rPr>
              <w:t>当发生黑客入侵、系统崩溃或其它影响业务正常运行的安全事件时，第一时间对安全事件进行应急响应处理。</w:t>
            </w:r>
            <w:r>
              <w:rPr>
                <w:rFonts w:hint="eastAsia" w:ascii="宋体" w:hAnsi="宋体" w:cs="宋体"/>
                <w:bCs/>
                <w:sz w:val="24"/>
              </w:rPr>
              <w:t>根据实际情况，按需进行。</w:t>
            </w:r>
          </w:p>
        </w:tc>
        <w:tc>
          <w:tcPr>
            <w:tcW w:w="72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年</w:t>
            </w:r>
          </w:p>
        </w:tc>
        <w:tc>
          <w:tcPr>
            <w:tcW w:w="7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7</w:t>
            </w:r>
          </w:p>
        </w:tc>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kern w:val="0"/>
                <w:sz w:val="24"/>
              </w:rPr>
            </w:pPr>
            <w:r>
              <w:rPr>
                <w:rFonts w:hint="eastAsia" w:ascii="宋体" w:hAnsi="宋体" w:cs="宋体"/>
                <w:color w:val="000000"/>
                <w:kern w:val="0"/>
                <w:sz w:val="24"/>
              </w:rPr>
              <w:t>安全迎检服务</w:t>
            </w:r>
          </w:p>
        </w:tc>
        <w:tc>
          <w:tcPr>
            <w:tcW w:w="4653"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s="宋体"/>
                <w:bCs/>
                <w:sz w:val="24"/>
              </w:rPr>
            </w:pPr>
            <w:r>
              <w:rPr>
                <w:rFonts w:hint="eastAsia" w:ascii="宋体" w:hAnsi="宋体" w:cs="宋体"/>
                <w:bCs/>
                <w:sz w:val="24"/>
              </w:rPr>
              <w:t>配合完成公安等上级部门网络安全检查，配合完成检查前准备，文档编制等工作，检查中配合工作，检查后整改工作。根据实际情况，按需进行。</w:t>
            </w:r>
          </w:p>
        </w:tc>
        <w:tc>
          <w:tcPr>
            <w:tcW w:w="72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年</w:t>
            </w:r>
          </w:p>
        </w:tc>
        <w:tc>
          <w:tcPr>
            <w:tcW w:w="76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3</w:t>
            </w:r>
          </w:p>
        </w:tc>
      </w:tr>
    </w:tbl>
    <w:p>
      <w:pPr>
        <w:spacing w:line="420" w:lineRule="exact"/>
        <w:ind w:firstLine="480" w:firstLineChars="200"/>
        <w:rPr>
          <w:rFonts w:ascii="宋体" w:hAnsi="宋体"/>
          <w:sz w:val="24"/>
        </w:rPr>
      </w:pPr>
      <w:r>
        <w:rPr>
          <w:rFonts w:hint="eastAsia" w:ascii="宋体" w:hAnsi="宋体" w:cs="仿宋_GB2312"/>
          <w:kern w:val="0"/>
          <w:sz w:val="24"/>
        </w:rPr>
        <w:t>注：本次采购项目需要投标人对清单中设备提供为期三年的原厂质保和软件升级服务。提供针对本项目的原厂质保服务承诺函复印件，中标后签订合同后提供承诺函原件，不能提供或故意拖延，采购人有权终止合同，并由投标人承担相应的法律责任。</w:t>
      </w:r>
    </w:p>
    <w:p>
      <w:pPr>
        <w:spacing w:line="420" w:lineRule="exact"/>
        <w:ind w:firstLine="472" w:firstLineChars="196"/>
        <w:rPr>
          <w:rFonts w:ascii="宋体" w:hAnsi="宋体"/>
          <w:b/>
          <w:sz w:val="24"/>
        </w:rPr>
      </w:pPr>
      <w:r>
        <w:rPr>
          <w:rFonts w:hint="eastAsia" w:ascii="宋体" w:hAnsi="宋体"/>
          <w:b/>
          <w:sz w:val="24"/>
        </w:rPr>
        <w:t>四、配置清单</w:t>
      </w:r>
    </w:p>
    <w:tbl>
      <w:tblPr>
        <w:tblStyle w:val="19"/>
        <w:tblW w:w="8947" w:type="dxa"/>
        <w:jc w:val="center"/>
        <w:tblLayout w:type="fixed"/>
        <w:tblCellMar>
          <w:top w:w="0" w:type="dxa"/>
          <w:left w:w="108" w:type="dxa"/>
          <w:bottom w:w="0" w:type="dxa"/>
          <w:right w:w="108" w:type="dxa"/>
        </w:tblCellMar>
      </w:tblPr>
      <w:tblGrid>
        <w:gridCol w:w="1001"/>
        <w:gridCol w:w="1071"/>
        <w:gridCol w:w="1557"/>
        <w:gridCol w:w="714"/>
        <w:gridCol w:w="4604"/>
      </w:tblGrid>
      <w:tr>
        <w:tblPrEx>
          <w:tblCellMar>
            <w:top w:w="0" w:type="dxa"/>
            <w:left w:w="108" w:type="dxa"/>
            <w:bottom w:w="0" w:type="dxa"/>
            <w:right w:w="108" w:type="dxa"/>
          </w:tblCellMar>
        </w:tblPrEx>
        <w:trPr>
          <w:trHeight w:val="389" w:hRule="atLeast"/>
          <w:jc w:val="center"/>
        </w:trPr>
        <w:tc>
          <w:tcPr>
            <w:tcW w:w="207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类别</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设备名称</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数量</w:t>
            </w:r>
          </w:p>
        </w:tc>
        <w:tc>
          <w:tcPr>
            <w:tcW w:w="46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作用</w:t>
            </w:r>
          </w:p>
        </w:tc>
      </w:tr>
      <w:tr>
        <w:tblPrEx>
          <w:tblCellMar>
            <w:top w:w="0" w:type="dxa"/>
            <w:left w:w="108" w:type="dxa"/>
            <w:bottom w:w="0" w:type="dxa"/>
            <w:right w:w="108" w:type="dxa"/>
          </w:tblCellMar>
        </w:tblPrEx>
        <w:trPr>
          <w:trHeight w:val="581" w:hRule="atLeast"/>
          <w:jc w:val="center"/>
        </w:trPr>
        <w:tc>
          <w:tcPr>
            <w:tcW w:w="100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安全防护设备</w:t>
            </w:r>
          </w:p>
        </w:tc>
        <w:tc>
          <w:tcPr>
            <w:tcW w:w="107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硬件设备</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上网行为管理</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1台</w:t>
            </w:r>
          </w:p>
        </w:tc>
        <w:tc>
          <w:tcPr>
            <w:tcW w:w="46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对访问互联网的用户行为进行审计和分析</w:t>
            </w:r>
          </w:p>
        </w:tc>
      </w:tr>
      <w:tr>
        <w:tblPrEx>
          <w:tblCellMar>
            <w:top w:w="0" w:type="dxa"/>
            <w:left w:w="108" w:type="dxa"/>
            <w:bottom w:w="0" w:type="dxa"/>
            <w:right w:w="108" w:type="dxa"/>
          </w:tblCellMar>
        </w:tblPrEx>
        <w:trPr>
          <w:trHeight w:val="773"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color w:val="000000"/>
                <w:kern w:val="0"/>
                <w:sz w:val="24"/>
              </w:rPr>
            </w:pPr>
          </w:p>
        </w:tc>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color w:val="000000"/>
                <w:kern w:val="0"/>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下一代防火墙</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1台</w:t>
            </w:r>
          </w:p>
        </w:tc>
        <w:tc>
          <w:tcPr>
            <w:tcW w:w="46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对服务器区边界的恶意代码、入侵行为进行阻断</w:t>
            </w:r>
          </w:p>
        </w:tc>
      </w:tr>
      <w:tr>
        <w:tblPrEx>
          <w:tblCellMar>
            <w:top w:w="0" w:type="dxa"/>
            <w:left w:w="108" w:type="dxa"/>
            <w:bottom w:w="0" w:type="dxa"/>
            <w:right w:w="108" w:type="dxa"/>
          </w:tblCellMar>
        </w:tblPrEx>
        <w:trPr>
          <w:trHeight w:val="773"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color w:val="000000"/>
                <w:kern w:val="0"/>
                <w:sz w:val="24"/>
              </w:rPr>
            </w:pPr>
          </w:p>
        </w:tc>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color w:val="000000"/>
                <w:kern w:val="0"/>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堡垒机</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1台</w:t>
            </w:r>
          </w:p>
        </w:tc>
        <w:tc>
          <w:tcPr>
            <w:tcW w:w="46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对运维人员的操作行为进行记录和审计</w:t>
            </w:r>
          </w:p>
        </w:tc>
      </w:tr>
      <w:tr>
        <w:tblPrEx>
          <w:tblCellMar>
            <w:top w:w="0" w:type="dxa"/>
            <w:left w:w="108" w:type="dxa"/>
            <w:bottom w:w="0" w:type="dxa"/>
            <w:right w:w="108" w:type="dxa"/>
          </w:tblCellMar>
        </w:tblPrEx>
        <w:trPr>
          <w:trHeight w:val="773"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color w:val="000000"/>
                <w:kern w:val="0"/>
                <w:sz w:val="24"/>
              </w:rPr>
            </w:pPr>
          </w:p>
        </w:tc>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color w:val="000000"/>
                <w:kern w:val="0"/>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日志审计</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1台</w:t>
            </w:r>
          </w:p>
        </w:tc>
        <w:tc>
          <w:tcPr>
            <w:tcW w:w="46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对服务器和其他安全设备的日志进行统一收集管理</w:t>
            </w:r>
          </w:p>
        </w:tc>
      </w:tr>
      <w:tr>
        <w:tblPrEx>
          <w:tblCellMar>
            <w:top w:w="0" w:type="dxa"/>
            <w:left w:w="108" w:type="dxa"/>
            <w:bottom w:w="0" w:type="dxa"/>
            <w:right w:w="108" w:type="dxa"/>
          </w:tblCellMar>
        </w:tblPrEx>
        <w:trPr>
          <w:trHeight w:val="581"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color w:val="000000"/>
                <w:kern w:val="0"/>
                <w:sz w:val="24"/>
              </w:rPr>
            </w:pPr>
          </w:p>
        </w:tc>
        <w:tc>
          <w:tcPr>
            <w:tcW w:w="107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Liscense</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下一代防火墙入侵防御和防病毒授权</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3年</w:t>
            </w:r>
          </w:p>
        </w:tc>
        <w:tc>
          <w:tcPr>
            <w:tcW w:w="46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对出口边界的恶意代码、入侵行为进行检测和阻断</w:t>
            </w:r>
          </w:p>
        </w:tc>
      </w:tr>
      <w:tr>
        <w:tblPrEx>
          <w:tblCellMar>
            <w:top w:w="0" w:type="dxa"/>
            <w:left w:w="108" w:type="dxa"/>
            <w:bottom w:w="0" w:type="dxa"/>
            <w:right w:w="108" w:type="dxa"/>
          </w:tblCellMar>
        </w:tblPrEx>
        <w:trPr>
          <w:trHeight w:val="709"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color w:val="000000"/>
                <w:kern w:val="0"/>
                <w:sz w:val="24"/>
              </w:rPr>
            </w:pPr>
          </w:p>
        </w:tc>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color w:val="000000"/>
                <w:kern w:val="0"/>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杀毒软件</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3年</w:t>
            </w:r>
          </w:p>
        </w:tc>
        <w:tc>
          <w:tcPr>
            <w:tcW w:w="46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对服务器和终端电脑进行统一杀毒管理</w:t>
            </w:r>
          </w:p>
        </w:tc>
      </w:tr>
      <w:tr>
        <w:tblPrEx>
          <w:tblCellMar>
            <w:top w:w="0" w:type="dxa"/>
            <w:left w:w="108" w:type="dxa"/>
            <w:bottom w:w="0" w:type="dxa"/>
            <w:right w:w="108" w:type="dxa"/>
          </w:tblCellMar>
        </w:tblPrEx>
        <w:trPr>
          <w:trHeight w:val="893" w:hRule="atLeast"/>
          <w:jc w:val="center"/>
        </w:trPr>
        <w:tc>
          <w:tcPr>
            <w:tcW w:w="207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安全运维服务</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异地数据备份</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3年</w:t>
            </w:r>
          </w:p>
        </w:tc>
        <w:tc>
          <w:tcPr>
            <w:tcW w:w="46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对所有业务系统的数据进行备份，提高机房容灾能力</w:t>
            </w:r>
          </w:p>
        </w:tc>
      </w:tr>
      <w:tr>
        <w:tblPrEx>
          <w:tblCellMar>
            <w:top w:w="0" w:type="dxa"/>
            <w:left w:w="108" w:type="dxa"/>
            <w:bottom w:w="0" w:type="dxa"/>
            <w:right w:w="108" w:type="dxa"/>
          </w:tblCellMar>
        </w:tblPrEx>
        <w:trPr>
          <w:trHeight w:val="965" w:hRule="atLeast"/>
          <w:jc w:val="center"/>
        </w:trPr>
        <w:tc>
          <w:tcPr>
            <w:tcW w:w="2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color w:val="000000"/>
                <w:kern w:val="0"/>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安全巡检服务</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3年</w:t>
            </w:r>
          </w:p>
        </w:tc>
        <w:tc>
          <w:tcPr>
            <w:tcW w:w="46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对网络设备和服务器等进行巡检服务，并且根据巡检情况及时调整安全策略保证安全设备可靠运行。</w:t>
            </w:r>
          </w:p>
        </w:tc>
      </w:tr>
      <w:tr>
        <w:tblPrEx>
          <w:tblCellMar>
            <w:top w:w="0" w:type="dxa"/>
            <w:left w:w="108" w:type="dxa"/>
            <w:bottom w:w="0" w:type="dxa"/>
            <w:right w:w="108" w:type="dxa"/>
          </w:tblCellMar>
        </w:tblPrEx>
        <w:trPr>
          <w:trHeight w:val="773" w:hRule="atLeast"/>
          <w:jc w:val="center"/>
        </w:trPr>
        <w:tc>
          <w:tcPr>
            <w:tcW w:w="2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color w:val="000000"/>
                <w:kern w:val="0"/>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漏洞扫描服务</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3年</w:t>
            </w:r>
          </w:p>
        </w:tc>
        <w:tc>
          <w:tcPr>
            <w:tcW w:w="46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对网络设备、服务器操作系统、应用系统进行漏洞扫描和漏洞修复。</w:t>
            </w:r>
          </w:p>
        </w:tc>
      </w:tr>
      <w:tr>
        <w:tblPrEx>
          <w:tblCellMar>
            <w:top w:w="0" w:type="dxa"/>
            <w:left w:w="108" w:type="dxa"/>
            <w:bottom w:w="0" w:type="dxa"/>
            <w:right w:w="108" w:type="dxa"/>
          </w:tblCellMar>
        </w:tblPrEx>
        <w:trPr>
          <w:trHeight w:val="965" w:hRule="atLeast"/>
          <w:jc w:val="center"/>
        </w:trPr>
        <w:tc>
          <w:tcPr>
            <w:tcW w:w="2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color w:val="000000"/>
                <w:kern w:val="0"/>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安全加固服务</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3年</w:t>
            </w:r>
          </w:p>
        </w:tc>
        <w:tc>
          <w:tcPr>
            <w:tcW w:w="46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对巡检过程中发现的问题进行安全策略调整；对漏洞扫描过程中发现的各种安全隐患进行安全加固和优化。</w:t>
            </w:r>
          </w:p>
        </w:tc>
      </w:tr>
      <w:tr>
        <w:tblPrEx>
          <w:tblCellMar>
            <w:top w:w="0" w:type="dxa"/>
            <w:left w:w="108" w:type="dxa"/>
            <w:bottom w:w="0" w:type="dxa"/>
            <w:right w:w="108" w:type="dxa"/>
          </w:tblCellMar>
        </w:tblPrEx>
        <w:trPr>
          <w:trHeight w:val="965" w:hRule="atLeast"/>
          <w:jc w:val="center"/>
        </w:trPr>
        <w:tc>
          <w:tcPr>
            <w:tcW w:w="2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color w:val="000000"/>
                <w:kern w:val="0"/>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应急响应服务</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3年</w:t>
            </w:r>
          </w:p>
        </w:tc>
        <w:tc>
          <w:tcPr>
            <w:tcW w:w="46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当发生黑客入侵、系统崩溃或其它影响业务正常运行的安全事件时，第一时间对安全事件进行应急响应处理。</w:t>
            </w:r>
          </w:p>
        </w:tc>
      </w:tr>
      <w:tr>
        <w:tblPrEx>
          <w:tblCellMar>
            <w:top w:w="0" w:type="dxa"/>
            <w:left w:w="108" w:type="dxa"/>
            <w:bottom w:w="0" w:type="dxa"/>
            <w:right w:w="108" w:type="dxa"/>
          </w:tblCellMar>
        </w:tblPrEx>
        <w:trPr>
          <w:trHeight w:val="965" w:hRule="atLeast"/>
          <w:jc w:val="center"/>
        </w:trPr>
        <w:tc>
          <w:tcPr>
            <w:tcW w:w="2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color w:val="000000"/>
                <w:kern w:val="0"/>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安全迎检服务</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3年</w:t>
            </w:r>
          </w:p>
        </w:tc>
        <w:tc>
          <w:tcPr>
            <w:tcW w:w="46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仿宋_GB2312"/>
                <w:color w:val="000000"/>
                <w:kern w:val="0"/>
                <w:sz w:val="24"/>
              </w:rPr>
            </w:pPr>
            <w:r>
              <w:rPr>
                <w:rFonts w:hint="eastAsia" w:ascii="宋体" w:hAnsi="宋体" w:cs="仿宋_GB2312"/>
                <w:color w:val="000000"/>
                <w:kern w:val="0"/>
                <w:sz w:val="24"/>
              </w:rPr>
              <w:t>迎接公安等上级部门网络安全检查，完成检查前准备，文档编制等工作，检查中配合工作，检查后整改工作。</w:t>
            </w:r>
          </w:p>
        </w:tc>
      </w:tr>
    </w:tbl>
    <w:p>
      <w:pPr>
        <w:widowControl/>
        <w:spacing w:line="420" w:lineRule="exact"/>
        <w:ind w:left="425"/>
        <w:rPr>
          <w:rFonts w:ascii="宋体" w:hAnsi="宋体" w:cs="宋体"/>
          <w:kern w:val="0"/>
          <w:sz w:val="24"/>
        </w:rPr>
      </w:pPr>
      <w:r>
        <w:rPr>
          <w:rFonts w:hint="eastAsia" w:ascii="宋体" w:hAnsi="宋体" w:cs="宋体"/>
          <w:sz w:val="24"/>
        </w:rPr>
        <w:t>（1）</w:t>
      </w:r>
      <w:r>
        <w:rPr>
          <w:rFonts w:ascii="宋体" w:hAnsi="宋体" w:cs="宋体"/>
          <w:sz w:val="24"/>
        </w:rPr>
        <w:t>所有产品均要求全新原厂原包装。</w:t>
      </w:r>
    </w:p>
    <w:p>
      <w:pPr>
        <w:widowControl/>
        <w:tabs>
          <w:tab w:val="left" w:pos="501"/>
        </w:tabs>
        <w:spacing w:line="420" w:lineRule="exact"/>
        <w:ind w:left="425"/>
        <w:rPr>
          <w:rFonts w:ascii="宋体" w:hAnsi="宋体" w:cs="宋体"/>
          <w:kern w:val="0"/>
          <w:sz w:val="24"/>
        </w:rPr>
      </w:pPr>
      <w:r>
        <w:rPr>
          <w:rFonts w:hint="eastAsia" w:ascii="宋体" w:hAnsi="宋体" w:cs="宋体"/>
          <w:sz w:val="24"/>
        </w:rPr>
        <w:t>（2）</w:t>
      </w:r>
      <w:r>
        <w:rPr>
          <w:rFonts w:ascii="宋体" w:hAnsi="宋体" w:cs="宋体"/>
          <w:sz w:val="24"/>
        </w:rPr>
        <w:t>交货期：自合同签定之日起30个工作日</w:t>
      </w:r>
      <w:r>
        <w:rPr>
          <w:rFonts w:hint="eastAsia" w:ascii="宋体" w:hAnsi="宋体" w:cs="宋体"/>
          <w:sz w:val="24"/>
        </w:rPr>
        <w:t>内完成供货、安装及调试</w:t>
      </w:r>
      <w:r>
        <w:rPr>
          <w:rFonts w:ascii="宋体" w:hAnsi="宋体" w:cs="宋体"/>
          <w:sz w:val="24"/>
        </w:rPr>
        <w:t>。</w:t>
      </w:r>
    </w:p>
    <w:p>
      <w:pPr>
        <w:spacing w:line="420" w:lineRule="exact"/>
        <w:ind w:left="425"/>
        <w:rPr>
          <w:rFonts w:ascii="宋体" w:hAnsi="宋体" w:cs="宋体"/>
          <w:sz w:val="24"/>
        </w:rPr>
      </w:pPr>
      <w:r>
        <w:rPr>
          <w:rFonts w:hint="eastAsia" w:ascii="宋体" w:hAnsi="宋体" w:cs="宋体"/>
          <w:sz w:val="24"/>
        </w:rPr>
        <w:t>（3）交货（服务）地点：用户指定地点。</w:t>
      </w:r>
    </w:p>
    <w:p>
      <w:pPr>
        <w:spacing w:line="420" w:lineRule="exact"/>
        <w:ind w:firstLine="482" w:firstLineChars="200"/>
        <w:rPr>
          <w:rFonts w:ascii="宋体" w:hAnsi="宋体" w:cs="宋体"/>
          <w:b/>
          <w:bCs/>
          <w:sz w:val="24"/>
        </w:rPr>
      </w:pPr>
      <w:r>
        <w:rPr>
          <w:rFonts w:hint="eastAsia" w:ascii="宋体" w:hAnsi="宋体" w:cs="宋体"/>
          <w:b/>
          <w:bCs/>
          <w:sz w:val="24"/>
        </w:rPr>
        <w:t>五、项目需满足的服务标准、期限、效率等要求</w:t>
      </w:r>
    </w:p>
    <w:p>
      <w:pPr>
        <w:spacing w:line="420" w:lineRule="exact"/>
        <w:ind w:firstLine="480" w:firstLineChars="200"/>
        <w:rPr>
          <w:rFonts w:ascii="宋体" w:hAnsi="宋体" w:cs="宋体"/>
          <w:sz w:val="24"/>
        </w:rPr>
      </w:pPr>
      <w:r>
        <w:rPr>
          <w:rFonts w:hint="eastAsia" w:ascii="宋体" w:hAnsi="宋体" w:cs="宋体"/>
          <w:sz w:val="24"/>
        </w:rPr>
        <w:t>本项目中包含的设备和软件，质保期三年及软件免费升级三年，免费送货、安装、培训，在质保期内免费维护维修及技术支持。须承诺发生故障时，接到用户通知2小时内上门，24小时内解决问题。</w:t>
      </w:r>
    </w:p>
    <w:p>
      <w:pPr>
        <w:spacing w:line="420" w:lineRule="exact"/>
        <w:ind w:firstLine="482" w:firstLineChars="200"/>
        <w:rPr>
          <w:rFonts w:ascii="宋体" w:hAnsi="宋体" w:cs="宋体"/>
          <w:b/>
          <w:bCs/>
          <w:sz w:val="24"/>
        </w:rPr>
      </w:pPr>
      <w:r>
        <w:rPr>
          <w:rFonts w:hint="eastAsia" w:ascii="宋体" w:hAnsi="宋体" w:cs="宋体"/>
          <w:b/>
          <w:bCs/>
          <w:sz w:val="24"/>
        </w:rPr>
        <w:t>六、项目的验收标准</w:t>
      </w:r>
    </w:p>
    <w:p>
      <w:pPr>
        <w:spacing w:line="420" w:lineRule="exact"/>
        <w:ind w:firstLine="480" w:firstLineChars="200"/>
        <w:rPr>
          <w:rFonts w:ascii="宋体" w:hAnsi="宋体" w:cs="宋体"/>
          <w:sz w:val="24"/>
        </w:rPr>
      </w:pPr>
      <w:r>
        <w:rPr>
          <w:rFonts w:hint="eastAsia" w:ascii="宋体" w:hAnsi="宋体" w:cs="宋体"/>
          <w:sz w:val="24"/>
        </w:rPr>
        <w:t>采购单位按合同约定积极配合投标人履约，按合同约定及时组织相关专业技术人员，必要时邀请相关部门等共同参与验收，并出具验收报告。</w:t>
      </w:r>
    </w:p>
    <w:p>
      <w:pPr>
        <w:spacing w:line="420" w:lineRule="exact"/>
        <w:ind w:firstLine="482" w:firstLineChars="200"/>
        <w:rPr>
          <w:rFonts w:ascii="宋体" w:hAnsi="宋体" w:cs="宋体"/>
          <w:b/>
          <w:bCs/>
          <w:sz w:val="24"/>
        </w:rPr>
      </w:pPr>
      <w:r>
        <w:rPr>
          <w:rFonts w:hint="eastAsia" w:ascii="宋体" w:hAnsi="宋体" w:cs="宋体"/>
          <w:b/>
          <w:bCs/>
          <w:sz w:val="24"/>
        </w:rPr>
        <w:t>七、项目的其他技术、服务等要求</w:t>
      </w:r>
    </w:p>
    <w:p>
      <w:pPr>
        <w:spacing w:line="420" w:lineRule="exact"/>
        <w:ind w:firstLine="480" w:firstLineChars="200"/>
        <w:rPr>
          <w:rFonts w:ascii="宋体" w:hAnsi="宋体" w:cs="宋体"/>
          <w:sz w:val="24"/>
        </w:rPr>
      </w:pPr>
      <w:r>
        <w:rPr>
          <w:rFonts w:hint="eastAsia" w:ascii="宋体" w:hAnsi="宋体" w:cs="宋体"/>
          <w:sz w:val="24"/>
        </w:rPr>
        <w:t xml:space="preserve">（1）投标人应提供详细的售后服务方案； </w:t>
      </w:r>
    </w:p>
    <w:p>
      <w:pPr>
        <w:spacing w:line="420" w:lineRule="exact"/>
        <w:ind w:firstLine="480" w:firstLineChars="200"/>
        <w:rPr>
          <w:rFonts w:ascii="宋体" w:hAnsi="宋体" w:cs="宋体"/>
          <w:sz w:val="24"/>
        </w:rPr>
      </w:pPr>
      <w:r>
        <w:rPr>
          <w:rFonts w:hint="eastAsia" w:ascii="宋体" w:hAnsi="宋体" w:cs="宋体"/>
          <w:sz w:val="24"/>
        </w:rPr>
        <w:t>（2）质保内免费提供产品的维修维护，包括非人为因素发生的产品修理、更换的费用。过质保期后应提供上门维修，维修费用只收取零部件成本费；</w:t>
      </w:r>
    </w:p>
    <w:p>
      <w:pPr>
        <w:spacing w:line="420" w:lineRule="exact"/>
        <w:ind w:firstLine="482" w:firstLineChars="200"/>
        <w:rPr>
          <w:rFonts w:ascii="宋体" w:hAnsi="宋体" w:cs="宋体"/>
          <w:b/>
          <w:bCs/>
          <w:sz w:val="24"/>
        </w:rPr>
      </w:pPr>
      <w:r>
        <w:rPr>
          <w:rFonts w:hint="eastAsia" w:ascii="宋体" w:hAnsi="宋体" w:cs="宋体"/>
          <w:b/>
          <w:bCs/>
          <w:sz w:val="24"/>
        </w:rPr>
        <w:t>八、项目付款条件</w:t>
      </w:r>
    </w:p>
    <w:p>
      <w:pPr>
        <w:spacing w:line="420" w:lineRule="exact"/>
        <w:ind w:firstLine="480" w:firstLineChars="200"/>
        <w:rPr>
          <w:rFonts w:ascii="宋体" w:hAnsi="宋体" w:cs="宋体"/>
          <w:sz w:val="24"/>
        </w:rPr>
      </w:pPr>
      <w:r>
        <w:rPr>
          <w:rFonts w:hint="eastAsia" w:ascii="宋体" w:hAnsi="宋体" w:cs="宋体"/>
          <w:sz w:val="24"/>
        </w:rPr>
        <w:t>签订合同后10日内，采购人支付项目总价的50%,设备安装调试完成经验收后10日内支付至项目总价的95%，本项目质保期3年，质保期满后10日内支付至项目总价的100%。</w:t>
      </w:r>
    </w:p>
    <w:p>
      <w:pPr>
        <w:spacing w:line="420" w:lineRule="exact"/>
        <w:ind w:firstLine="482" w:firstLineChars="200"/>
        <w:rPr>
          <w:rFonts w:ascii="宋体" w:hAnsi="宋体"/>
          <w:b/>
          <w:bCs/>
          <w:sz w:val="24"/>
        </w:rPr>
      </w:pPr>
      <w:r>
        <w:rPr>
          <w:rFonts w:hint="eastAsia" w:ascii="宋体" w:hAnsi="宋体" w:cs="宋体"/>
          <w:b/>
          <w:bCs/>
          <w:sz w:val="24"/>
        </w:rPr>
        <w:t>九、</w:t>
      </w:r>
      <w:r>
        <w:rPr>
          <w:rFonts w:hint="eastAsia" w:ascii="宋体" w:hAnsi="宋体"/>
          <w:b/>
          <w:bCs/>
          <w:sz w:val="24"/>
        </w:rPr>
        <w:t>投标报价</w:t>
      </w:r>
    </w:p>
    <w:p>
      <w:pPr>
        <w:snapToGrid w:val="0"/>
        <w:spacing w:line="420" w:lineRule="exact"/>
        <w:ind w:firstLine="494" w:firstLineChars="206"/>
        <w:rPr>
          <w:rFonts w:ascii="宋体" w:hAnsi="宋体" w:cs="宋体"/>
          <w:sz w:val="24"/>
        </w:rPr>
      </w:pPr>
      <w:r>
        <w:rPr>
          <w:rFonts w:hint="eastAsia" w:ascii="宋体" w:hAnsi="宋体" w:cs="宋体"/>
          <w:sz w:val="24"/>
        </w:rPr>
        <w:t>1、本项目不接受任何有选择的报价。</w:t>
      </w:r>
    </w:p>
    <w:p>
      <w:pPr>
        <w:snapToGrid w:val="0"/>
        <w:spacing w:line="420" w:lineRule="exact"/>
        <w:ind w:firstLine="494" w:firstLineChars="206"/>
        <w:rPr>
          <w:rFonts w:ascii="宋体" w:hAnsi="宋体" w:cs="宋体"/>
          <w:sz w:val="24"/>
        </w:rPr>
      </w:pPr>
      <w:r>
        <w:rPr>
          <w:rFonts w:hint="eastAsia" w:ascii="宋体" w:hAnsi="宋体" w:cs="宋体"/>
          <w:sz w:val="24"/>
        </w:rPr>
        <w:t>2、投标报价均以人民币为报价的货币单位。</w:t>
      </w:r>
    </w:p>
    <w:p>
      <w:pPr>
        <w:snapToGrid w:val="0"/>
        <w:spacing w:line="420" w:lineRule="exact"/>
        <w:ind w:firstLine="494" w:firstLineChars="206"/>
        <w:rPr>
          <w:rFonts w:ascii="宋体" w:hAnsi="宋体" w:cs="宋体"/>
          <w:sz w:val="24"/>
        </w:rPr>
      </w:pPr>
      <w:r>
        <w:rPr>
          <w:rFonts w:hint="eastAsia" w:ascii="宋体" w:hAnsi="宋体" w:cs="宋体"/>
          <w:sz w:val="24"/>
        </w:rPr>
        <w:t>3、报价表必须加盖投标人公章且必须经法定代表人或委托代理人签署。总价和明细价的大小写金额必须一致，若有差异，以大写为准。</w:t>
      </w:r>
    </w:p>
    <w:p>
      <w:pPr>
        <w:snapToGrid w:val="0"/>
        <w:spacing w:line="420" w:lineRule="exact"/>
        <w:ind w:firstLine="494" w:firstLineChars="206"/>
        <w:rPr>
          <w:rFonts w:ascii="宋体" w:hAnsi="宋体" w:cs="宋体"/>
          <w:color w:val="000000"/>
          <w:sz w:val="24"/>
        </w:rPr>
      </w:pPr>
      <w:r>
        <w:rPr>
          <w:rFonts w:hint="eastAsia" w:ascii="宋体" w:hAnsi="宋体" w:cs="宋体"/>
          <w:sz w:val="24"/>
        </w:rPr>
        <w:t>4、报价总价金额与按单价汇总金额不一致的，以单价金额计算结果为准。</w:t>
      </w:r>
    </w:p>
    <w:p>
      <w:pPr>
        <w:snapToGrid w:val="0"/>
        <w:spacing w:line="420" w:lineRule="exact"/>
        <w:ind w:firstLine="494" w:firstLineChars="206"/>
        <w:rPr>
          <w:rFonts w:ascii="宋体" w:hAnsi="宋体" w:cs="宋体"/>
          <w:sz w:val="24"/>
        </w:rPr>
      </w:pPr>
      <w:r>
        <w:rPr>
          <w:rFonts w:hint="eastAsia" w:ascii="宋体" w:hAnsi="宋体" w:cs="宋体"/>
          <w:sz w:val="24"/>
        </w:rPr>
        <w:t>5、投标报价采用综合总价报价：</w:t>
      </w:r>
    </w:p>
    <w:p>
      <w:pPr>
        <w:snapToGrid w:val="0"/>
        <w:spacing w:line="420" w:lineRule="exact"/>
        <w:ind w:firstLine="494" w:firstLineChars="206"/>
        <w:rPr>
          <w:rFonts w:ascii="宋体" w:hAnsi="宋体" w:cs="宋体"/>
          <w:sz w:val="24"/>
        </w:rPr>
      </w:pPr>
      <w:r>
        <w:rPr>
          <w:rFonts w:hint="eastAsia" w:ascii="宋体" w:hAnsi="宋体" w:cs="宋体"/>
          <w:sz w:val="24"/>
        </w:rPr>
        <w:t>（1）投标人对投标报价中应包括响应及完成本项目工作所需的一切费用。包含但不限于设备、服务劳务、管理、培训费、材料费、运输费、保险、售后服务、利润、税金、政策性文件规定及合同包含的所有风险、责任等各项应有费用。</w:t>
      </w:r>
    </w:p>
    <w:p>
      <w:pPr>
        <w:snapToGrid w:val="0"/>
        <w:spacing w:line="420" w:lineRule="exact"/>
        <w:ind w:firstLine="494" w:firstLineChars="206"/>
        <w:rPr>
          <w:rFonts w:ascii="宋体" w:hAnsi="宋体" w:cs="宋体"/>
          <w:sz w:val="24"/>
        </w:rPr>
      </w:pPr>
      <w:r>
        <w:rPr>
          <w:rFonts w:hint="eastAsia" w:ascii="宋体" w:hAnsi="宋体" w:cs="宋体"/>
          <w:sz w:val="24"/>
        </w:rPr>
        <w:t>（2）投标报价为成交价。一旦成交，除因特殊原因并经与采购人协商取得同意，成交的投标人不得再要求追加任何费用。</w:t>
      </w:r>
    </w:p>
    <w:p>
      <w:pPr>
        <w:snapToGrid w:val="0"/>
        <w:spacing w:line="420" w:lineRule="exact"/>
        <w:ind w:firstLine="494" w:firstLineChars="206"/>
        <w:rPr>
          <w:rFonts w:ascii="宋体" w:hAnsi="宋体" w:cs="宋体"/>
          <w:sz w:val="24"/>
        </w:rPr>
      </w:pPr>
      <w:r>
        <w:rPr>
          <w:rFonts w:hint="eastAsia" w:ascii="宋体" w:hAnsi="宋体" w:cs="宋体"/>
          <w:sz w:val="24"/>
        </w:rPr>
        <w:t>（3）除非合同条款中另有规定，否则，投标人所报价格一旦成交，在合同实施期间不因任何市场变化的因素而变动。</w:t>
      </w:r>
    </w:p>
    <w:p>
      <w:pPr>
        <w:snapToGrid w:val="0"/>
        <w:spacing w:line="420" w:lineRule="exact"/>
        <w:ind w:firstLine="494" w:firstLineChars="206"/>
        <w:rPr>
          <w:rFonts w:ascii="宋体" w:hAnsi="宋体" w:cs="宋体"/>
          <w:sz w:val="24"/>
        </w:rPr>
      </w:pPr>
      <w:r>
        <w:rPr>
          <w:rFonts w:hint="eastAsia" w:ascii="宋体" w:hAnsi="宋体" w:cs="宋体"/>
          <w:sz w:val="24"/>
        </w:rPr>
        <w:t>6、招标文件未列明，而投标人认为必需的费用可列入报价，但须包含在报价内。项目报价：包括买方项目需求所涉及的所有费用，项目单价按配置及明细报价表中各分项要求填报。</w:t>
      </w:r>
    </w:p>
    <w:p>
      <w:pPr>
        <w:snapToGrid w:val="0"/>
        <w:spacing w:line="420" w:lineRule="exact"/>
        <w:ind w:firstLine="494" w:firstLineChars="206"/>
        <w:rPr>
          <w:rFonts w:ascii="宋体" w:hAnsi="宋体" w:cs="宋体"/>
          <w:sz w:val="24"/>
        </w:rPr>
      </w:pPr>
      <w:r>
        <w:rPr>
          <w:rFonts w:hint="eastAsia" w:ascii="宋体" w:hAnsi="宋体" w:cs="宋体"/>
          <w:sz w:val="24"/>
        </w:rPr>
        <w:t>7、投标报价为最终报价，即</w:t>
      </w:r>
      <w:r>
        <w:rPr>
          <w:rFonts w:hint="eastAsia" w:ascii="宋体" w:hAnsi="宋体" w:cs="宋体"/>
          <w:b/>
          <w:sz w:val="24"/>
        </w:rPr>
        <w:t>本次招标项目仅为一次报价。</w:t>
      </w:r>
    </w:p>
    <w:p>
      <w:pPr>
        <w:snapToGrid w:val="0"/>
        <w:spacing w:line="420" w:lineRule="exact"/>
        <w:ind w:firstLine="494" w:firstLineChars="206"/>
        <w:rPr>
          <w:rFonts w:ascii="宋体" w:hAnsi="宋体"/>
          <w:sz w:val="24"/>
        </w:rPr>
      </w:pPr>
      <w:r>
        <w:rPr>
          <w:rFonts w:hint="eastAsia" w:ascii="宋体" w:hAnsi="宋体" w:cs="宋体"/>
          <w:sz w:val="24"/>
        </w:rPr>
        <w:t>8、除非因特殊原因并经采购人和中标人双方协商同意，中标人不得再要求追加任何费用。同时，除非合同条款中另有规定，否则，中标人的中标价在合同实施期间不因市场变化因素而变动。</w:t>
      </w:r>
    </w:p>
    <w:p>
      <w:pPr>
        <w:spacing w:line="420" w:lineRule="exact"/>
        <w:ind w:firstLine="480" w:firstLineChars="200"/>
        <w:rPr>
          <w:rFonts w:ascii="宋体" w:hAnsi="宋体"/>
          <w:sz w:val="24"/>
        </w:rPr>
      </w:pPr>
    </w:p>
    <w:p>
      <w:pPr>
        <w:spacing w:line="420" w:lineRule="exact"/>
        <w:ind w:firstLine="480" w:firstLineChars="200"/>
        <w:rPr>
          <w:rFonts w:ascii="宋体" w:hAnsi="宋体"/>
          <w:sz w:val="24"/>
        </w:rPr>
      </w:pPr>
    </w:p>
    <w:p>
      <w:pPr>
        <w:tabs>
          <w:tab w:val="left" w:pos="5325"/>
        </w:tabs>
        <w:snapToGrid w:val="0"/>
        <w:spacing w:line="420" w:lineRule="exact"/>
        <w:jc w:val="center"/>
        <w:rPr>
          <w:rFonts w:ascii="宋体" w:hAnsi="宋体"/>
          <w:b/>
          <w:sz w:val="36"/>
          <w:szCs w:val="36"/>
        </w:rPr>
      </w:pPr>
      <w:r>
        <w:rPr>
          <w:rFonts w:hint="eastAsia" w:ascii="宋体" w:hAnsi="宋体"/>
          <w:b/>
          <w:sz w:val="36"/>
          <w:szCs w:val="36"/>
        </w:rPr>
        <w:t>第四部分  开标和评标</w:t>
      </w:r>
    </w:p>
    <w:p>
      <w:pPr>
        <w:tabs>
          <w:tab w:val="left" w:pos="3585"/>
        </w:tabs>
        <w:snapToGrid w:val="0"/>
        <w:spacing w:line="420" w:lineRule="exact"/>
        <w:ind w:firstLine="581" w:firstLineChars="241"/>
        <w:rPr>
          <w:b/>
          <w:sz w:val="24"/>
        </w:rPr>
      </w:pPr>
      <w:r>
        <w:rPr>
          <w:rFonts w:hAnsi="宋体"/>
          <w:b/>
          <w:bCs/>
          <w:sz w:val="24"/>
        </w:rPr>
        <w:t>一、</w:t>
      </w:r>
      <w:r>
        <w:rPr>
          <w:rFonts w:hAnsi="宋体"/>
          <w:b/>
          <w:sz w:val="24"/>
        </w:rPr>
        <w:t>采购人组织开标。</w:t>
      </w:r>
    </w:p>
    <w:p>
      <w:pPr>
        <w:tabs>
          <w:tab w:val="left" w:pos="3585"/>
        </w:tabs>
        <w:snapToGrid w:val="0"/>
        <w:spacing w:line="420" w:lineRule="exact"/>
        <w:ind w:firstLine="460" w:firstLineChars="192"/>
        <w:rPr>
          <w:sz w:val="24"/>
        </w:rPr>
      </w:pPr>
      <w:r>
        <w:rPr>
          <w:rFonts w:hAnsi="宋体"/>
          <w:sz w:val="24"/>
        </w:rPr>
        <w:t>投标人的法定代表人或授权委托人须持本人</w:t>
      </w:r>
      <w:r>
        <w:rPr>
          <w:rFonts w:hAnsi="宋体"/>
          <w:b/>
          <w:sz w:val="24"/>
        </w:rPr>
        <w:t>有效身份证原件</w:t>
      </w:r>
      <w:r>
        <w:rPr>
          <w:rFonts w:hAnsi="宋体"/>
          <w:sz w:val="24"/>
        </w:rPr>
        <w:t>参加开标会。</w:t>
      </w:r>
    </w:p>
    <w:p>
      <w:pPr>
        <w:snapToGrid w:val="0"/>
        <w:spacing w:line="420" w:lineRule="exact"/>
        <w:ind w:firstLine="570"/>
        <w:rPr>
          <w:bCs/>
          <w:sz w:val="24"/>
        </w:rPr>
      </w:pPr>
      <w:r>
        <w:rPr>
          <w:rFonts w:hAnsi="宋体"/>
          <w:b/>
          <w:bCs/>
          <w:sz w:val="24"/>
        </w:rPr>
        <w:t>二、</w:t>
      </w:r>
      <w:r>
        <w:rPr>
          <w:rFonts w:hAnsi="宋体"/>
          <w:b/>
          <w:sz w:val="24"/>
        </w:rPr>
        <w:t>评委会</w:t>
      </w:r>
      <w:r>
        <w:rPr>
          <w:rFonts w:hAnsi="宋体"/>
          <w:sz w:val="24"/>
        </w:rPr>
        <w:t>由</w:t>
      </w:r>
      <w:r>
        <w:rPr>
          <w:rFonts w:hAnsi="宋体"/>
          <w:bCs/>
          <w:sz w:val="24"/>
        </w:rPr>
        <w:t>有关专家组成</w:t>
      </w:r>
      <w:r>
        <w:rPr>
          <w:rFonts w:hAnsi="宋体"/>
          <w:sz w:val="24"/>
        </w:rPr>
        <w:t>，对投标文件进行审查、质疑、评估、比较。评委会按照</w:t>
      </w:r>
      <w:r>
        <w:rPr>
          <w:rFonts w:hAnsi="宋体"/>
          <w:bCs/>
          <w:sz w:val="24"/>
        </w:rPr>
        <w:t>公平、公正、择优的原则进行</w:t>
      </w:r>
      <w:r>
        <w:rPr>
          <w:rFonts w:hAnsi="宋体"/>
          <w:sz w:val="24"/>
        </w:rPr>
        <w:t>独立</w:t>
      </w:r>
      <w:r>
        <w:rPr>
          <w:rFonts w:hAnsi="宋体"/>
          <w:bCs/>
          <w:sz w:val="24"/>
        </w:rPr>
        <w:t>评标。</w:t>
      </w:r>
    </w:p>
    <w:p>
      <w:pPr>
        <w:snapToGrid w:val="0"/>
        <w:spacing w:line="420" w:lineRule="exact"/>
        <w:ind w:firstLine="480" w:firstLineChars="200"/>
        <w:rPr>
          <w:sz w:val="24"/>
        </w:rPr>
      </w:pPr>
      <w:r>
        <w:rPr>
          <w:rFonts w:hAnsi="宋体"/>
          <w:sz w:val="24"/>
        </w:rPr>
        <w:t>评委会对投标人的投标资格及有关资质是否符合要求，进行审查后进入评审环节。</w:t>
      </w:r>
    </w:p>
    <w:p>
      <w:pPr>
        <w:snapToGrid w:val="0"/>
        <w:spacing w:line="420" w:lineRule="exact"/>
        <w:ind w:firstLine="482" w:firstLineChars="200"/>
        <w:rPr>
          <w:b/>
          <w:sz w:val="24"/>
        </w:rPr>
      </w:pPr>
      <w:r>
        <w:rPr>
          <w:rFonts w:hAnsi="宋体"/>
          <w:b/>
          <w:sz w:val="24"/>
        </w:rPr>
        <w:t>（一）评审内容</w:t>
      </w:r>
    </w:p>
    <w:p>
      <w:pPr>
        <w:snapToGrid w:val="0"/>
        <w:spacing w:line="420" w:lineRule="exact"/>
        <w:ind w:firstLine="480" w:firstLineChars="200"/>
        <w:rPr>
          <w:sz w:val="24"/>
        </w:rPr>
      </w:pPr>
      <w:r>
        <w:rPr>
          <w:sz w:val="24"/>
        </w:rPr>
        <w:t>1</w:t>
      </w:r>
      <w:r>
        <w:rPr>
          <w:rFonts w:hAnsi="宋体"/>
          <w:sz w:val="24"/>
        </w:rPr>
        <w:t>、要求的保证金是否已提供；</w:t>
      </w:r>
    </w:p>
    <w:p>
      <w:pPr>
        <w:snapToGrid w:val="0"/>
        <w:spacing w:line="420" w:lineRule="exact"/>
        <w:ind w:firstLine="480" w:firstLineChars="200"/>
        <w:rPr>
          <w:sz w:val="24"/>
        </w:rPr>
      </w:pPr>
      <w:r>
        <w:rPr>
          <w:sz w:val="24"/>
        </w:rPr>
        <w:t>2、投标资格是否符合；</w:t>
      </w:r>
    </w:p>
    <w:p>
      <w:pPr>
        <w:snapToGrid w:val="0"/>
        <w:spacing w:line="420" w:lineRule="exact"/>
        <w:ind w:firstLine="480" w:firstLineChars="200"/>
        <w:rPr>
          <w:sz w:val="24"/>
        </w:rPr>
      </w:pPr>
      <w:r>
        <w:rPr>
          <w:sz w:val="24"/>
        </w:rPr>
        <w:t>3</w:t>
      </w:r>
      <w:r>
        <w:rPr>
          <w:rFonts w:hAnsi="宋体"/>
          <w:sz w:val="24"/>
        </w:rPr>
        <w:t>、投标文件是否完整；</w:t>
      </w:r>
    </w:p>
    <w:p>
      <w:pPr>
        <w:snapToGrid w:val="0"/>
        <w:spacing w:line="420" w:lineRule="exact"/>
        <w:ind w:firstLine="480" w:firstLineChars="200"/>
        <w:rPr>
          <w:sz w:val="24"/>
        </w:rPr>
      </w:pPr>
      <w:r>
        <w:rPr>
          <w:sz w:val="24"/>
        </w:rPr>
        <w:t>4</w:t>
      </w:r>
      <w:r>
        <w:rPr>
          <w:rFonts w:hAnsi="宋体"/>
          <w:sz w:val="24"/>
        </w:rPr>
        <w:t>、投标文件是否恰当签署；</w:t>
      </w:r>
    </w:p>
    <w:p>
      <w:pPr>
        <w:snapToGrid w:val="0"/>
        <w:spacing w:line="420" w:lineRule="exact"/>
        <w:ind w:firstLine="540"/>
        <w:rPr>
          <w:b/>
          <w:sz w:val="24"/>
        </w:rPr>
      </w:pPr>
      <w:r>
        <w:rPr>
          <w:sz w:val="24"/>
        </w:rPr>
        <w:t>5</w:t>
      </w:r>
      <w:r>
        <w:rPr>
          <w:rFonts w:hAnsi="宋体"/>
          <w:sz w:val="24"/>
        </w:rPr>
        <w:t>、是否作出实质性响应（</w:t>
      </w:r>
      <w:r>
        <w:rPr>
          <w:rFonts w:hAnsi="宋体"/>
          <w:b/>
          <w:sz w:val="24"/>
        </w:rPr>
        <w:t>是否有实质性响应，只根据投标文件本身，而不寻求外部证据）；</w:t>
      </w:r>
    </w:p>
    <w:p>
      <w:pPr>
        <w:snapToGrid w:val="0"/>
        <w:spacing w:line="420" w:lineRule="exact"/>
        <w:ind w:firstLine="480" w:firstLineChars="200"/>
        <w:rPr>
          <w:sz w:val="24"/>
        </w:rPr>
      </w:pPr>
      <w:r>
        <w:rPr>
          <w:sz w:val="24"/>
        </w:rPr>
        <w:t>6</w:t>
      </w:r>
      <w:r>
        <w:rPr>
          <w:rFonts w:hAnsi="宋体"/>
          <w:sz w:val="24"/>
        </w:rPr>
        <w:t>、是否有计算错误。</w:t>
      </w:r>
    </w:p>
    <w:p>
      <w:pPr>
        <w:snapToGrid w:val="0"/>
        <w:spacing w:line="420" w:lineRule="exact"/>
        <w:ind w:firstLine="482" w:firstLineChars="200"/>
        <w:rPr>
          <w:b/>
          <w:bCs/>
          <w:sz w:val="24"/>
        </w:rPr>
      </w:pPr>
      <w:r>
        <w:rPr>
          <w:rFonts w:hAnsi="宋体"/>
          <w:b/>
          <w:bCs/>
          <w:sz w:val="24"/>
        </w:rPr>
        <w:t>（二）相应的规定</w:t>
      </w:r>
    </w:p>
    <w:p>
      <w:pPr>
        <w:snapToGrid w:val="0"/>
        <w:spacing w:line="420" w:lineRule="exact"/>
        <w:ind w:firstLine="480" w:firstLineChars="200"/>
        <w:rPr>
          <w:sz w:val="24"/>
        </w:rPr>
      </w:pPr>
      <w:r>
        <w:rPr>
          <w:bCs/>
          <w:sz w:val="24"/>
        </w:rPr>
        <w:t>1</w:t>
      </w:r>
      <w:r>
        <w:rPr>
          <w:rFonts w:hAnsi="宋体"/>
          <w:bCs/>
          <w:sz w:val="24"/>
        </w:rPr>
        <w:t>、</w:t>
      </w:r>
      <w:r>
        <w:rPr>
          <w:rFonts w:hAnsi="宋体"/>
          <w:sz w:val="24"/>
        </w:rPr>
        <w:t>如果单价汇总金额与总价金额有出入，以单价金额计算结果为准；</w:t>
      </w:r>
    </w:p>
    <w:p>
      <w:pPr>
        <w:snapToGrid w:val="0"/>
        <w:spacing w:line="420" w:lineRule="exact"/>
        <w:ind w:firstLine="480" w:firstLineChars="200"/>
        <w:rPr>
          <w:sz w:val="24"/>
        </w:rPr>
      </w:pPr>
      <w:r>
        <w:rPr>
          <w:sz w:val="24"/>
        </w:rPr>
        <w:t>2</w:t>
      </w:r>
      <w:r>
        <w:rPr>
          <w:rFonts w:hAnsi="宋体"/>
          <w:sz w:val="24"/>
        </w:rPr>
        <w:t>、单价金额小数点有明显错位的，应以总价为准；</w:t>
      </w:r>
    </w:p>
    <w:p>
      <w:pPr>
        <w:snapToGrid w:val="0"/>
        <w:spacing w:line="420" w:lineRule="exact"/>
        <w:ind w:firstLine="480" w:firstLineChars="200"/>
        <w:rPr>
          <w:sz w:val="24"/>
        </w:rPr>
      </w:pPr>
      <w:r>
        <w:rPr>
          <w:sz w:val="24"/>
        </w:rPr>
        <w:t>3</w:t>
      </w:r>
      <w:r>
        <w:rPr>
          <w:rFonts w:hAnsi="宋体"/>
          <w:sz w:val="24"/>
        </w:rPr>
        <w:t>、正本与副本有矛盾的，以正本为准；</w:t>
      </w:r>
    </w:p>
    <w:p>
      <w:pPr>
        <w:snapToGrid w:val="0"/>
        <w:spacing w:line="420" w:lineRule="exact"/>
        <w:ind w:firstLine="480" w:firstLineChars="200"/>
        <w:rPr>
          <w:sz w:val="24"/>
        </w:rPr>
      </w:pPr>
      <w:r>
        <w:rPr>
          <w:sz w:val="24"/>
        </w:rPr>
        <w:t>4</w:t>
      </w:r>
      <w:r>
        <w:rPr>
          <w:rFonts w:hAnsi="宋体"/>
          <w:sz w:val="24"/>
        </w:rPr>
        <w:t>、若文件大写表示的数据与数字表示的有差别，以大写表示的数据为准。</w:t>
      </w:r>
    </w:p>
    <w:p>
      <w:pPr>
        <w:tabs>
          <w:tab w:val="left" w:pos="3585"/>
        </w:tabs>
        <w:snapToGrid w:val="0"/>
        <w:spacing w:line="420" w:lineRule="exact"/>
        <w:ind w:firstLine="482" w:firstLineChars="200"/>
        <w:rPr>
          <w:b/>
          <w:bCs/>
          <w:sz w:val="24"/>
        </w:rPr>
      </w:pPr>
      <w:r>
        <w:rPr>
          <w:rFonts w:hAnsi="宋体"/>
          <w:b/>
          <w:bCs/>
          <w:sz w:val="24"/>
        </w:rPr>
        <w:t>三、</w:t>
      </w:r>
      <w:r>
        <w:rPr>
          <w:rFonts w:hAnsi="宋体"/>
          <w:b/>
          <w:sz w:val="24"/>
        </w:rPr>
        <w:t>陈述、演示、</w:t>
      </w:r>
      <w:r>
        <w:rPr>
          <w:rFonts w:hAnsi="宋体"/>
          <w:b/>
          <w:bCs/>
          <w:sz w:val="24"/>
        </w:rPr>
        <w:t>答疑、澄清</w:t>
      </w:r>
    </w:p>
    <w:p>
      <w:pPr>
        <w:snapToGrid w:val="0"/>
        <w:spacing w:line="420" w:lineRule="exact"/>
        <w:ind w:firstLine="570"/>
        <w:rPr>
          <w:b/>
          <w:sz w:val="24"/>
        </w:rPr>
      </w:pPr>
      <w:r>
        <w:rPr>
          <w:rFonts w:hAnsi="宋体"/>
          <w:sz w:val="24"/>
          <w:shd w:val="clear" w:color="auto" w:fill="FFFFFF"/>
        </w:rPr>
        <w:t>如评委会认为有必要，投标人按评委会的要求作陈述、演示、</w:t>
      </w:r>
      <w:r>
        <w:rPr>
          <w:rFonts w:hAnsi="宋体"/>
          <w:sz w:val="24"/>
        </w:rPr>
        <w:t>答疑及澄清其投标内容。时间由评委会掌握。</w:t>
      </w:r>
    </w:p>
    <w:p>
      <w:pPr>
        <w:snapToGrid w:val="0"/>
        <w:spacing w:line="420" w:lineRule="exact"/>
        <w:ind w:firstLine="570"/>
        <w:rPr>
          <w:sz w:val="24"/>
        </w:rPr>
      </w:pPr>
      <w:r>
        <w:rPr>
          <w:rFonts w:hAnsi="宋体"/>
          <w:sz w:val="24"/>
        </w:rPr>
        <w:t>重要澄清答复应是书面的，但不得对投标内容进行实质性修改。</w:t>
      </w:r>
    </w:p>
    <w:p>
      <w:pPr>
        <w:snapToGrid w:val="0"/>
        <w:spacing w:line="420" w:lineRule="exact"/>
        <w:ind w:firstLine="482" w:firstLineChars="200"/>
        <w:rPr>
          <w:b/>
          <w:sz w:val="24"/>
        </w:rPr>
      </w:pPr>
      <w:r>
        <w:rPr>
          <w:rFonts w:hAnsi="宋体"/>
          <w:b/>
          <w:sz w:val="24"/>
        </w:rPr>
        <w:t>四、出现下列情形之一的，作无效投标处理</w:t>
      </w:r>
    </w:p>
    <w:p>
      <w:pPr>
        <w:snapToGrid w:val="0"/>
        <w:spacing w:line="420" w:lineRule="exact"/>
        <w:ind w:firstLine="570"/>
        <w:rPr>
          <w:sz w:val="24"/>
        </w:rPr>
      </w:pPr>
      <w:r>
        <w:rPr>
          <w:sz w:val="24"/>
        </w:rPr>
        <w:t>1、未提供原件包的</w:t>
      </w:r>
      <w:r>
        <w:rPr>
          <w:rFonts w:hint="eastAsia"/>
          <w:sz w:val="24"/>
        </w:rPr>
        <w:t>；</w:t>
      </w:r>
    </w:p>
    <w:p>
      <w:pPr>
        <w:snapToGrid w:val="0"/>
        <w:spacing w:line="420" w:lineRule="exact"/>
        <w:ind w:firstLine="570"/>
        <w:rPr>
          <w:sz w:val="24"/>
        </w:rPr>
      </w:pPr>
      <w:r>
        <w:rPr>
          <w:sz w:val="24"/>
        </w:rPr>
        <w:t>2</w:t>
      </w:r>
      <w:r>
        <w:rPr>
          <w:rFonts w:hAnsi="宋体"/>
          <w:sz w:val="24"/>
        </w:rPr>
        <w:t>、未按照招标文件规定要求装订、密封、签署、盖章的；</w:t>
      </w:r>
    </w:p>
    <w:p>
      <w:pPr>
        <w:snapToGrid w:val="0"/>
        <w:spacing w:line="420" w:lineRule="exact"/>
        <w:ind w:firstLine="570"/>
        <w:rPr>
          <w:sz w:val="24"/>
        </w:rPr>
      </w:pPr>
      <w:r>
        <w:rPr>
          <w:sz w:val="24"/>
        </w:rPr>
        <w:t>3</w:t>
      </w:r>
      <w:r>
        <w:rPr>
          <w:rFonts w:hAnsi="宋体"/>
          <w:sz w:val="24"/>
        </w:rPr>
        <w:t>、不具备招标文件中规定的资格要求的；</w:t>
      </w:r>
    </w:p>
    <w:p>
      <w:pPr>
        <w:snapToGrid w:val="0"/>
        <w:spacing w:line="420" w:lineRule="exact"/>
        <w:ind w:firstLine="570"/>
        <w:rPr>
          <w:sz w:val="24"/>
        </w:rPr>
      </w:pPr>
      <w:r>
        <w:rPr>
          <w:sz w:val="24"/>
        </w:rPr>
        <w:t>4</w:t>
      </w:r>
      <w:r>
        <w:rPr>
          <w:rFonts w:hAnsi="宋体"/>
          <w:sz w:val="24"/>
        </w:rPr>
        <w:t>、投标报价</w:t>
      </w:r>
      <w:r>
        <w:rPr>
          <w:rFonts w:hint="eastAsia" w:hAnsi="宋体"/>
          <w:sz w:val="24"/>
        </w:rPr>
        <w:t>高于采购预算价或</w:t>
      </w:r>
      <w:r>
        <w:rPr>
          <w:rFonts w:hAnsi="宋体"/>
          <w:sz w:val="24"/>
        </w:rPr>
        <w:t>最高限价的；</w:t>
      </w:r>
    </w:p>
    <w:p>
      <w:pPr>
        <w:snapToGrid w:val="0"/>
        <w:spacing w:line="420" w:lineRule="exact"/>
        <w:ind w:firstLine="570"/>
        <w:rPr>
          <w:sz w:val="24"/>
        </w:rPr>
      </w:pPr>
      <w:r>
        <w:rPr>
          <w:sz w:val="24"/>
        </w:rPr>
        <w:t>5</w:t>
      </w:r>
      <w:r>
        <w:rPr>
          <w:rFonts w:hAnsi="宋体"/>
          <w:sz w:val="24"/>
        </w:rPr>
        <w:t>、不符合法律、法规和招标文件中规定的其他实质性要求的。</w:t>
      </w:r>
    </w:p>
    <w:p>
      <w:pPr>
        <w:snapToGrid w:val="0"/>
        <w:spacing w:line="420" w:lineRule="exact"/>
        <w:ind w:firstLine="570"/>
        <w:rPr>
          <w:b/>
          <w:sz w:val="24"/>
        </w:rPr>
      </w:pPr>
      <w:r>
        <w:rPr>
          <w:rFonts w:hAnsi="宋体"/>
          <w:b/>
          <w:sz w:val="24"/>
        </w:rPr>
        <w:t>五、出现下列情形之一的，作废标处理</w:t>
      </w:r>
    </w:p>
    <w:p>
      <w:pPr>
        <w:snapToGrid w:val="0"/>
        <w:spacing w:line="420" w:lineRule="exact"/>
        <w:ind w:firstLine="570"/>
        <w:rPr>
          <w:sz w:val="24"/>
        </w:rPr>
      </w:pPr>
      <w:r>
        <w:rPr>
          <w:sz w:val="24"/>
        </w:rPr>
        <w:t>1</w:t>
      </w:r>
      <w:r>
        <w:rPr>
          <w:rFonts w:hAnsi="宋体"/>
          <w:sz w:val="24"/>
        </w:rPr>
        <w:t>、符合专业条件的投标人或者对招标文件作实质响应的投标人不足</w:t>
      </w:r>
      <w:r>
        <w:rPr>
          <w:sz w:val="24"/>
        </w:rPr>
        <w:t>3</w:t>
      </w:r>
      <w:r>
        <w:rPr>
          <w:rFonts w:hAnsi="宋体"/>
          <w:sz w:val="24"/>
        </w:rPr>
        <w:t>家的；</w:t>
      </w:r>
    </w:p>
    <w:p>
      <w:pPr>
        <w:snapToGrid w:val="0"/>
        <w:spacing w:line="420" w:lineRule="exact"/>
        <w:ind w:firstLine="555"/>
        <w:rPr>
          <w:sz w:val="24"/>
        </w:rPr>
      </w:pPr>
      <w:r>
        <w:rPr>
          <w:sz w:val="24"/>
        </w:rPr>
        <w:t>2</w:t>
      </w:r>
      <w:r>
        <w:rPr>
          <w:rFonts w:hAnsi="宋体"/>
          <w:sz w:val="24"/>
        </w:rPr>
        <w:t>、出现影响采购公正的违法违规行为的；</w:t>
      </w:r>
    </w:p>
    <w:p>
      <w:pPr>
        <w:snapToGrid w:val="0"/>
        <w:spacing w:line="420" w:lineRule="exact"/>
        <w:ind w:firstLine="555"/>
        <w:rPr>
          <w:sz w:val="24"/>
        </w:rPr>
      </w:pPr>
      <w:r>
        <w:rPr>
          <w:sz w:val="24"/>
        </w:rPr>
        <w:t>3</w:t>
      </w:r>
      <w:r>
        <w:rPr>
          <w:rFonts w:hAnsi="宋体"/>
          <w:sz w:val="24"/>
        </w:rPr>
        <w:t>、投标人的报价均</w:t>
      </w:r>
      <w:r>
        <w:rPr>
          <w:rFonts w:hint="eastAsia" w:hAnsi="宋体"/>
          <w:sz w:val="24"/>
        </w:rPr>
        <w:t>高于采购预算价或最高限价的</w:t>
      </w:r>
      <w:r>
        <w:rPr>
          <w:rFonts w:hAnsi="宋体"/>
          <w:sz w:val="24"/>
        </w:rPr>
        <w:t>；</w:t>
      </w:r>
    </w:p>
    <w:p>
      <w:pPr>
        <w:snapToGrid w:val="0"/>
        <w:spacing w:line="420" w:lineRule="exact"/>
        <w:ind w:firstLine="555"/>
        <w:rPr>
          <w:sz w:val="24"/>
        </w:rPr>
      </w:pPr>
      <w:r>
        <w:rPr>
          <w:sz w:val="24"/>
        </w:rPr>
        <w:t>4</w:t>
      </w:r>
      <w:r>
        <w:rPr>
          <w:rFonts w:hAnsi="宋体"/>
          <w:sz w:val="24"/>
        </w:rPr>
        <w:t>、因重大变故，采购任务取消的。</w:t>
      </w:r>
    </w:p>
    <w:p>
      <w:pPr>
        <w:snapToGrid w:val="0"/>
        <w:spacing w:line="420" w:lineRule="exact"/>
        <w:ind w:firstLine="555"/>
        <w:rPr>
          <w:sz w:val="24"/>
        </w:rPr>
      </w:pPr>
      <w:r>
        <w:rPr>
          <w:rFonts w:hAnsi="宋体"/>
          <w:sz w:val="24"/>
        </w:rPr>
        <w:t>上述均保留评委会认定可以确定为无效投标或废标的其他情况。</w:t>
      </w:r>
    </w:p>
    <w:p>
      <w:pPr>
        <w:snapToGrid w:val="0"/>
        <w:spacing w:line="420" w:lineRule="exact"/>
        <w:ind w:firstLine="555"/>
        <w:rPr>
          <w:b/>
          <w:sz w:val="24"/>
        </w:rPr>
      </w:pPr>
      <w:r>
        <w:rPr>
          <w:rFonts w:hAnsi="宋体"/>
          <w:b/>
          <w:sz w:val="24"/>
        </w:rPr>
        <w:t>六</w:t>
      </w:r>
      <w:r>
        <w:rPr>
          <w:rFonts w:hAnsi="宋体"/>
          <w:sz w:val="24"/>
        </w:rPr>
        <w:t>、</w:t>
      </w:r>
      <w:r>
        <w:rPr>
          <w:rFonts w:hAnsi="宋体"/>
          <w:b/>
          <w:sz w:val="24"/>
        </w:rPr>
        <w:t>变更为其他方式采购的情形</w:t>
      </w:r>
    </w:p>
    <w:p>
      <w:pPr>
        <w:autoSpaceDE w:val="0"/>
        <w:autoSpaceDN w:val="0"/>
        <w:adjustRightInd w:val="0"/>
        <w:snapToGrid w:val="0"/>
        <w:spacing w:line="420" w:lineRule="exact"/>
        <w:ind w:firstLine="480" w:firstLineChars="200"/>
        <w:rPr>
          <w:rFonts w:ascii="宋体" w:hAnsi="宋体" w:cs="宋体"/>
          <w:sz w:val="24"/>
          <w:lang w:val="zh-CN"/>
        </w:rPr>
      </w:pPr>
      <w:r>
        <w:rPr>
          <w:rFonts w:hint="eastAsia" w:ascii="宋体" w:hAnsi="宋体" w:cs="宋体"/>
          <w:sz w:val="24"/>
        </w:rPr>
        <w:t>投标截止时间出现如下情形的，参加投标的</w:t>
      </w:r>
      <w:r>
        <w:rPr>
          <w:rFonts w:hint="eastAsia" w:hAnsi="宋体"/>
          <w:sz w:val="24"/>
        </w:rPr>
        <w:t>投标人</w:t>
      </w:r>
      <w:r>
        <w:rPr>
          <w:rFonts w:hint="eastAsia" w:ascii="宋体" w:hAnsi="宋体" w:cs="宋体"/>
          <w:sz w:val="24"/>
        </w:rPr>
        <w:t>不足3家的，及评标中出现符合专业条件的</w:t>
      </w:r>
      <w:r>
        <w:rPr>
          <w:rFonts w:hint="eastAsia" w:hAnsi="宋体"/>
          <w:sz w:val="24"/>
        </w:rPr>
        <w:t>投标人</w:t>
      </w:r>
      <w:r>
        <w:rPr>
          <w:rFonts w:hint="eastAsia" w:ascii="宋体" w:hAnsi="宋体" w:cs="宋体"/>
          <w:sz w:val="24"/>
        </w:rPr>
        <w:t>或对招标文件作实质响应的投标人不足3家的，除采购任务取消外，视情采取其他方式采购。</w:t>
      </w:r>
      <w:r>
        <w:rPr>
          <w:rFonts w:hint="eastAsia" w:ascii="宋体" w:hAnsi="宋体" w:cs="宋体"/>
          <w:sz w:val="24"/>
          <w:lang w:val="zh-CN"/>
        </w:rPr>
        <w:t>本次招标文件中对</w:t>
      </w:r>
      <w:r>
        <w:rPr>
          <w:rFonts w:hint="eastAsia" w:hAnsi="宋体"/>
          <w:sz w:val="24"/>
        </w:rPr>
        <w:t>投标人</w:t>
      </w:r>
      <w:r>
        <w:rPr>
          <w:rFonts w:hint="eastAsia" w:ascii="宋体" w:hAnsi="宋体" w:cs="宋体"/>
          <w:sz w:val="24"/>
          <w:lang w:val="zh-CN"/>
        </w:rPr>
        <w:t>资质、技术等要求，将作为</w:t>
      </w:r>
      <w:r>
        <w:rPr>
          <w:rFonts w:hint="eastAsia" w:ascii="宋体" w:hAnsi="宋体" w:cs="宋体"/>
          <w:sz w:val="24"/>
        </w:rPr>
        <w:t>其他</w:t>
      </w:r>
      <w:r>
        <w:rPr>
          <w:rFonts w:hint="eastAsia" w:ascii="宋体" w:hAnsi="宋体" w:cs="宋体"/>
          <w:sz w:val="24"/>
          <w:lang w:val="zh-CN"/>
        </w:rPr>
        <w:t>方式采购的基本要求和依据。原已经参加投标并符合要求的</w:t>
      </w:r>
      <w:r>
        <w:rPr>
          <w:rFonts w:hint="eastAsia" w:hAnsi="宋体"/>
          <w:sz w:val="24"/>
        </w:rPr>
        <w:t>投标人</w:t>
      </w:r>
      <w:r>
        <w:rPr>
          <w:rFonts w:hint="eastAsia" w:ascii="宋体" w:hAnsi="宋体" w:cs="宋体"/>
          <w:sz w:val="24"/>
          <w:lang w:val="zh-CN"/>
        </w:rPr>
        <w:t>，根据自愿原则，参加</w:t>
      </w:r>
      <w:r>
        <w:rPr>
          <w:rFonts w:hint="eastAsia" w:ascii="宋体" w:hAnsi="宋体" w:cs="宋体"/>
          <w:sz w:val="24"/>
        </w:rPr>
        <w:t>其他</w:t>
      </w:r>
      <w:r>
        <w:rPr>
          <w:rFonts w:hint="eastAsia" w:ascii="宋体" w:hAnsi="宋体" w:cs="宋体"/>
          <w:sz w:val="24"/>
          <w:lang w:val="zh-CN"/>
        </w:rPr>
        <w:t>方式采购。</w:t>
      </w:r>
    </w:p>
    <w:p>
      <w:pPr>
        <w:snapToGrid w:val="0"/>
        <w:spacing w:line="420" w:lineRule="exact"/>
        <w:ind w:firstLine="555"/>
        <w:rPr>
          <w:b/>
          <w:sz w:val="24"/>
        </w:rPr>
      </w:pPr>
      <w:r>
        <w:rPr>
          <w:rFonts w:hAnsi="宋体"/>
          <w:b/>
          <w:sz w:val="24"/>
        </w:rPr>
        <w:t>七、评标方法</w:t>
      </w:r>
    </w:p>
    <w:p>
      <w:pPr>
        <w:autoSpaceDE w:val="0"/>
        <w:autoSpaceDN w:val="0"/>
        <w:adjustRightInd w:val="0"/>
        <w:snapToGrid w:val="0"/>
        <w:spacing w:line="420" w:lineRule="exact"/>
        <w:ind w:firstLine="480" w:firstLineChars="200"/>
        <w:rPr>
          <w:rFonts w:ascii="宋体" w:hAnsi="宋体" w:cs="宋体"/>
          <w:sz w:val="24"/>
        </w:rPr>
      </w:pPr>
      <w:r>
        <w:rPr>
          <w:rFonts w:hint="eastAsia" w:ascii="宋体" w:hAnsi="宋体" w:cs="宋体"/>
          <w:sz w:val="24"/>
        </w:rPr>
        <w:t>采用综合评分法。分价格标、商务技术标两部分评审，总分值为100分。</w:t>
      </w:r>
    </w:p>
    <w:p>
      <w:pPr>
        <w:autoSpaceDE w:val="0"/>
        <w:autoSpaceDN w:val="0"/>
        <w:adjustRightInd w:val="0"/>
        <w:snapToGrid w:val="0"/>
        <w:spacing w:line="420" w:lineRule="exact"/>
        <w:ind w:firstLine="480" w:firstLineChars="200"/>
        <w:rPr>
          <w:rFonts w:ascii="宋体" w:hAnsi="宋体" w:cs="宋体"/>
          <w:sz w:val="24"/>
        </w:rPr>
      </w:pPr>
      <w:r>
        <w:rPr>
          <w:rFonts w:hint="eastAsia" w:ascii="宋体" w:hAnsi="宋体" w:cs="宋体"/>
          <w:sz w:val="24"/>
        </w:rPr>
        <w:t>首先评审商务技术标，待商务技术标评审结束后，再开启价格标。</w:t>
      </w:r>
    </w:p>
    <w:p>
      <w:pPr>
        <w:spacing w:line="360" w:lineRule="auto"/>
        <w:ind w:firstLine="482" w:firstLineChars="200"/>
        <w:rPr>
          <w:rFonts w:ascii="宋体" w:hAnsi="宋体"/>
          <w:b/>
          <w:sz w:val="24"/>
        </w:rPr>
      </w:pPr>
      <w:r>
        <w:rPr>
          <w:rFonts w:hint="eastAsia" w:ascii="宋体" w:hAnsi="宋体" w:cs="宋体"/>
          <w:b/>
          <w:bCs/>
          <w:sz w:val="24"/>
        </w:rPr>
        <w:t>(一)</w:t>
      </w:r>
      <w:r>
        <w:rPr>
          <w:rFonts w:ascii="宋体" w:hAnsi="宋体"/>
          <w:b/>
          <w:sz w:val="24"/>
        </w:rPr>
        <w:t xml:space="preserve"> 商务技术分（</w:t>
      </w:r>
      <w:r>
        <w:rPr>
          <w:rFonts w:hint="eastAsia" w:ascii="宋体" w:hAnsi="宋体"/>
          <w:b/>
          <w:sz w:val="24"/>
        </w:rPr>
        <w:t>70</w:t>
      </w:r>
      <w:r>
        <w:rPr>
          <w:rFonts w:ascii="宋体" w:hAnsi="宋体"/>
          <w:b/>
          <w:sz w:val="24"/>
        </w:rPr>
        <w:t>分）</w:t>
      </w:r>
    </w:p>
    <w:tbl>
      <w:tblPr>
        <w:tblStyle w:val="19"/>
        <w:tblW w:w="9525" w:type="dxa"/>
        <w:jc w:val="center"/>
        <w:tblLayout w:type="fixed"/>
        <w:tblCellMar>
          <w:top w:w="0" w:type="dxa"/>
          <w:left w:w="108" w:type="dxa"/>
          <w:bottom w:w="0" w:type="dxa"/>
          <w:right w:w="108" w:type="dxa"/>
        </w:tblCellMar>
      </w:tblPr>
      <w:tblGrid>
        <w:gridCol w:w="826"/>
        <w:gridCol w:w="1435"/>
        <w:gridCol w:w="805"/>
        <w:gridCol w:w="6459"/>
      </w:tblGrid>
      <w:tr>
        <w:tblPrEx>
          <w:tblCellMar>
            <w:top w:w="0" w:type="dxa"/>
            <w:left w:w="108" w:type="dxa"/>
            <w:bottom w:w="0" w:type="dxa"/>
            <w:right w:w="108" w:type="dxa"/>
          </w:tblCellMar>
        </w:tblPrEx>
        <w:trPr>
          <w:trHeight w:val="940" w:hRule="atLeast"/>
          <w:jc w:val="center"/>
        </w:trPr>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b/>
                <w:bCs/>
                <w:color w:val="000000"/>
                <w:sz w:val="24"/>
              </w:rPr>
            </w:pPr>
            <w:r>
              <w:rPr>
                <w:rFonts w:hint="eastAsia" w:ascii="宋体" w:hAnsi="宋体" w:cs="宋体"/>
                <w:b/>
                <w:bCs/>
                <w:color w:val="000000"/>
                <w:kern w:val="0"/>
                <w:sz w:val="24"/>
              </w:rPr>
              <w:t xml:space="preserve">序号 </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b/>
                <w:bCs/>
                <w:color w:val="000000"/>
                <w:sz w:val="24"/>
              </w:rPr>
            </w:pPr>
            <w:r>
              <w:rPr>
                <w:rFonts w:hint="eastAsia" w:ascii="宋体" w:hAnsi="宋体" w:cs="宋体"/>
                <w:b/>
                <w:bCs/>
                <w:color w:val="000000"/>
                <w:kern w:val="0"/>
                <w:sz w:val="24"/>
              </w:rPr>
              <w:t xml:space="preserve">评分点名称 </w:t>
            </w:r>
          </w:p>
        </w:tc>
        <w:tc>
          <w:tcPr>
            <w:tcW w:w="80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b/>
                <w:bCs/>
                <w:color w:val="000000"/>
                <w:sz w:val="24"/>
              </w:rPr>
            </w:pPr>
            <w:r>
              <w:rPr>
                <w:rFonts w:hint="eastAsia" w:ascii="宋体" w:hAnsi="宋体" w:cs="宋体"/>
                <w:b/>
                <w:bCs/>
                <w:color w:val="000000"/>
                <w:kern w:val="0"/>
                <w:sz w:val="24"/>
              </w:rPr>
              <w:t>分值</w:t>
            </w:r>
          </w:p>
        </w:tc>
        <w:tc>
          <w:tcPr>
            <w:tcW w:w="6455"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b/>
                <w:bCs/>
                <w:color w:val="000000"/>
                <w:sz w:val="24"/>
              </w:rPr>
            </w:pPr>
            <w:r>
              <w:rPr>
                <w:rFonts w:hint="eastAsia" w:ascii="宋体" w:hAnsi="宋体" w:cs="宋体"/>
                <w:b/>
                <w:bCs/>
                <w:color w:val="000000"/>
                <w:kern w:val="0"/>
                <w:sz w:val="24"/>
              </w:rPr>
              <w:t>评审标准</w:t>
            </w:r>
          </w:p>
        </w:tc>
      </w:tr>
      <w:tr>
        <w:tblPrEx>
          <w:tblCellMar>
            <w:top w:w="0" w:type="dxa"/>
            <w:left w:w="108" w:type="dxa"/>
            <w:bottom w:w="0" w:type="dxa"/>
            <w:right w:w="108" w:type="dxa"/>
          </w:tblCellMar>
        </w:tblPrEx>
        <w:trPr>
          <w:trHeight w:val="90" w:hRule="atLeast"/>
          <w:jc w:val="center"/>
        </w:trPr>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1</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sz w:val="24"/>
              </w:rPr>
              <w:t>技术参数响应程度</w:t>
            </w:r>
          </w:p>
        </w:tc>
        <w:tc>
          <w:tcPr>
            <w:tcW w:w="80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30</w:t>
            </w:r>
          </w:p>
        </w:tc>
        <w:tc>
          <w:tcPr>
            <w:tcW w:w="6455"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textAlignment w:val="center"/>
              <w:rPr>
                <w:rFonts w:ascii="宋体" w:hAnsi="宋体" w:cs="宋体"/>
                <w:color w:val="000000"/>
                <w:sz w:val="24"/>
              </w:rPr>
            </w:pPr>
            <w:r>
              <w:rPr>
                <w:rFonts w:hint="eastAsia" w:ascii="宋体" w:hAnsi="宋体" w:cs="宋体"/>
                <w:color w:val="000000"/>
                <w:kern w:val="0"/>
                <w:sz w:val="24"/>
              </w:rPr>
              <w:t>投标人根据响应文件技术参数要求进行逐条应答，并提供技术偏离表（未提供的，视为负偏离）参数中带▲项不允许负偏离。参数中带★项的为重要技术参数，负偏离有一条扣2分；其他的负偏离有一条扣1分，扣完为止。所投产品应标参数完全满足得30分。</w:t>
            </w:r>
          </w:p>
        </w:tc>
      </w:tr>
      <w:tr>
        <w:tblPrEx>
          <w:tblCellMar>
            <w:top w:w="0" w:type="dxa"/>
            <w:left w:w="108" w:type="dxa"/>
            <w:bottom w:w="0" w:type="dxa"/>
            <w:right w:w="108" w:type="dxa"/>
          </w:tblCellMar>
        </w:tblPrEx>
        <w:trPr>
          <w:trHeight w:val="1395" w:hRule="atLeast"/>
          <w:jc w:val="center"/>
        </w:trPr>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2</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sz w:val="24"/>
              </w:rPr>
              <w:t>综合信誉</w:t>
            </w:r>
          </w:p>
        </w:tc>
        <w:tc>
          <w:tcPr>
            <w:tcW w:w="80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14</w:t>
            </w:r>
          </w:p>
        </w:tc>
        <w:tc>
          <w:tcPr>
            <w:tcW w:w="6455"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textAlignment w:val="center"/>
              <w:rPr>
                <w:rFonts w:ascii="宋体" w:hAnsi="宋体" w:cs="宋体"/>
                <w:bCs/>
                <w:color w:val="000000"/>
                <w:kern w:val="0"/>
                <w:sz w:val="24"/>
              </w:rPr>
            </w:pPr>
            <w:r>
              <w:rPr>
                <w:rFonts w:hint="eastAsia" w:ascii="宋体" w:hAnsi="宋体" w:cs="宋体"/>
                <w:color w:val="000000"/>
                <w:kern w:val="0"/>
                <w:sz w:val="24"/>
              </w:rPr>
              <w:t>1、投标人具有有效的ISO9001质量管理体系认证、ISO20000信息技术服务管理体系认证、ISO27001信息安全管理体系认证证书、ISO27701隐私信息管理体系认证证书、ISO22301业务连续性管理体系认证证书的，每有一个得1分，本项最高得5分。</w:t>
            </w:r>
          </w:p>
          <w:p>
            <w:pPr>
              <w:widowControl/>
              <w:spacing w:line="420" w:lineRule="exact"/>
              <w:jc w:val="left"/>
              <w:textAlignment w:val="center"/>
              <w:rPr>
                <w:rFonts w:ascii="宋体" w:hAnsi="宋体" w:cs="宋体"/>
                <w:color w:val="000000"/>
                <w:kern w:val="0"/>
                <w:sz w:val="24"/>
              </w:rPr>
            </w:pPr>
            <w:r>
              <w:rPr>
                <w:rFonts w:hint="eastAsia" w:ascii="宋体" w:hAnsi="宋体" w:cs="宋体"/>
                <w:color w:val="000000"/>
                <w:kern w:val="0"/>
                <w:sz w:val="24"/>
              </w:rPr>
              <w:t>2、投标人具有信息系统建设和服务能力等级证书的，CS3及以上得2分，CS2及以下得1分，本项最高得2分。</w:t>
            </w:r>
          </w:p>
          <w:p>
            <w:pPr>
              <w:widowControl/>
              <w:spacing w:line="420" w:lineRule="exact"/>
              <w:jc w:val="left"/>
              <w:textAlignment w:val="center"/>
              <w:rPr>
                <w:rFonts w:ascii="宋体" w:hAnsi="宋体" w:cs="宋体"/>
                <w:color w:val="000000"/>
                <w:kern w:val="0"/>
                <w:sz w:val="24"/>
              </w:rPr>
            </w:pPr>
            <w:r>
              <w:rPr>
                <w:rFonts w:hint="eastAsia" w:ascii="宋体" w:hAnsi="宋体" w:cs="宋体"/>
                <w:color w:val="000000"/>
                <w:kern w:val="0"/>
                <w:sz w:val="24"/>
              </w:rPr>
              <w:t>3、投标人具有信息技术服务运行维护能力（ITSS）二级及以上资质得2分，否则不得分。</w:t>
            </w:r>
          </w:p>
          <w:p>
            <w:pPr>
              <w:widowControl/>
              <w:spacing w:line="420" w:lineRule="exact"/>
              <w:jc w:val="left"/>
              <w:textAlignment w:val="center"/>
              <w:rPr>
                <w:rFonts w:ascii="宋体" w:hAnsi="宋体" w:cs="宋体"/>
                <w:color w:val="000000"/>
                <w:kern w:val="0"/>
                <w:sz w:val="24"/>
              </w:rPr>
            </w:pPr>
            <w:r>
              <w:rPr>
                <w:rFonts w:hint="eastAsia" w:ascii="宋体" w:hAnsi="宋体" w:cs="宋体"/>
                <w:color w:val="000000"/>
                <w:kern w:val="0"/>
                <w:sz w:val="24"/>
              </w:rPr>
              <w:t>4、投标人具备CCRC信息安全服务资质认证的信息系统安全运维服务三级及以上资质的得1分，具备CCRC信息安全服务资质认证的信息系统安全集成服务二级及以上资质的得1分，最高得2分。</w:t>
            </w:r>
          </w:p>
          <w:p>
            <w:pPr>
              <w:widowControl/>
              <w:spacing w:line="420" w:lineRule="exact"/>
              <w:jc w:val="left"/>
              <w:textAlignment w:val="center"/>
              <w:rPr>
                <w:rFonts w:ascii="宋体" w:hAnsi="宋体" w:cs="宋体"/>
                <w:color w:val="000000"/>
                <w:kern w:val="0"/>
                <w:sz w:val="24"/>
              </w:rPr>
            </w:pPr>
            <w:r>
              <w:rPr>
                <w:rFonts w:hint="eastAsia" w:ascii="宋体" w:hAnsi="宋体" w:cs="宋体"/>
                <w:color w:val="000000"/>
                <w:kern w:val="0"/>
                <w:sz w:val="24"/>
              </w:rPr>
              <w:t>5、投标人具有机电工程施工总承包资质的得1分，否则不得分。</w:t>
            </w:r>
          </w:p>
          <w:p>
            <w:pPr>
              <w:widowControl/>
              <w:spacing w:line="420" w:lineRule="exact"/>
              <w:jc w:val="left"/>
              <w:textAlignment w:val="center"/>
              <w:rPr>
                <w:rFonts w:ascii="宋体" w:hAnsi="宋体" w:cs="宋体"/>
                <w:color w:val="000000"/>
                <w:kern w:val="0"/>
                <w:sz w:val="24"/>
              </w:rPr>
            </w:pPr>
            <w:r>
              <w:rPr>
                <w:rFonts w:hint="eastAsia" w:ascii="宋体" w:hAnsi="宋体" w:cs="宋体"/>
                <w:color w:val="000000"/>
                <w:kern w:val="0"/>
                <w:sz w:val="24"/>
              </w:rPr>
              <w:t>6、投标人能提供服务响应时间承诺书的得2分。</w:t>
            </w:r>
          </w:p>
          <w:p>
            <w:pPr>
              <w:widowControl/>
              <w:spacing w:line="420" w:lineRule="exact"/>
              <w:jc w:val="left"/>
              <w:textAlignment w:val="center"/>
              <w:rPr>
                <w:rFonts w:ascii="宋体" w:hAnsi="宋体" w:cs="宋体"/>
                <w:color w:val="000000"/>
                <w:sz w:val="24"/>
              </w:rPr>
            </w:pPr>
            <w:r>
              <w:rPr>
                <w:rFonts w:hint="eastAsia" w:ascii="宋体" w:hAnsi="宋体" w:cs="宋体"/>
                <w:bCs/>
                <w:color w:val="000000"/>
                <w:kern w:val="0"/>
                <w:sz w:val="24"/>
              </w:rPr>
              <w:t>投标人须提供以上相关证书的扫描件并加盖公章，否则不得分。</w:t>
            </w:r>
          </w:p>
        </w:tc>
      </w:tr>
      <w:tr>
        <w:tblPrEx>
          <w:tblCellMar>
            <w:top w:w="0" w:type="dxa"/>
            <w:left w:w="108" w:type="dxa"/>
            <w:bottom w:w="0" w:type="dxa"/>
            <w:right w:w="108" w:type="dxa"/>
          </w:tblCellMar>
        </w:tblPrEx>
        <w:trPr>
          <w:trHeight w:val="1395" w:hRule="atLeast"/>
          <w:jc w:val="center"/>
        </w:trPr>
        <w:tc>
          <w:tcPr>
            <w:tcW w:w="826"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color w:val="000000"/>
                <w:kern w:val="0"/>
                <w:sz w:val="24"/>
              </w:rPr>
            </w:pPr>
            <w:r>
              <w:rPr>
                <w:rFonts w:hint="eastAsia" w:ascii="宋体" w:hAnsi="宋体" w:cs="宋体"/>
                <w:color w:val="000000"/>
                <w:kern w:val="0"/>
                <w:sz w:val="24"/>
              </w:rPr>
              <w:t>3</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kern w:val="0"/>
                <w:sz w:val="24"/>
              </w:rPr>
            </w:pPr>
            <w:r>
              <w:rPr>
                <w:rFonts w:hint="eastAsia" w:ascii="宋体" w:hAnsi="宋体" w:cs="宋体"/>
                <w:color w:val="000000"/>
                <w:kern w:val="0"/>
                <w:sz w:val="24"/>
              </w:rPr>
              <w:t>服务能力</w:t>
            </w:r>
          </w:p>
        </w:tc>
        <w:tc>
          <w:tcPr>
            <w:tcW w:w="80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color w:val="000000"/>
                <w:kern w:val="0"/>
                <w:sz w:val="24"/>
              </w:rPr>
            </w:pPr>
            <w:r>
              <w:rPr>
                <w:rFonts w:hint="eastAsia" w:ascii="宋体" w:hAnsi="宋体" w:cs="宋体"/>
                <w:color w:val="000000"/>
                <w:kern w:val="0"/>
                <w:sz w:val="24"/>
              </w:rPr>
              <w:t>5</w:t>
            </w:r>
          </w:p>
        </w:tc>
        <w:tc>
          <w:tcPr>
            <w:tcW w:w="6455"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textAlignment w:val="center"/>
              <w:rPr>
                <w:rFonts w:ascii="宋体" w:hAnsi="宋体" w:cs="宋体"/>
                <w:bCs/>
                <w:color w:val="000000"/>
                <w:kern w:val="0"/>
                <w:sz w:val="24"/>
              </w:rPr>
            </w:pPr>
            <w:r>
              <w:rPr>
                <w:rFonts w:hint="eastAsia" w:ascii="宋体" w:hAnsi="宋体" w:cs="宋体"/>
                <w:bCs/>
                <w:color w:val="000000"/>
                <w:kern w:val="0"/>
                <w:sz w:val="24"/>
              </w:rPr>
              <w:t>1、拟投入本项目的项目经理(唯一)具有高级信息系统项目管理师、注册信息安全工程师认证证书、网络与信息安全应急人员认证证书、IT服务项目经理证书，每提供一个证书得0.5分，最高得2分。未提供不得分。</w:t>
            </w:r>
          </w:p>
          <w:p>
            <w:pPr>
              <w:widowControl/>
              <w:spacing w:line="420" w:lineRule="exact"/>
              <w:jc w:val="left"/>
              <w:textAlignment w:val="center"/>
              <w:rPr>
                <w:rFonts w:ascii="宋体" w:hAnsi="宋体" w:cs="宋体"/>
                <w:bCs/>
                <w:color w:val="000000"/>
                <w:kern w:val="0"/>
                <w:sz w:val="24"/>
              </w:rPr>
            </w:pPr>
            <w:r>
              <w:rPr>
                <w:rFonts w:hint="eastAsia" w:ascii="宋体" w:hAnsi="宋体" w:cs="宋体"/>
                <w:bCs/>
                <w:color w:val="000000"/>
                <w:kern w:val="0"/>
                <w:sz w:val="24"/>
              </w:rPr>
              <w:t>2、项目组实施成员具有软件设计师、信息系统安全专业认证（CISSP）、CISAW信息安全保障人员认证证书、高级用户研究工程师、高级程序员证书、系统分析师证书，每提供一个证书得0.5分，本项最高得3分。</w:t>
            </w:r>
          </w:p>
          <w:p>
            <w:pPr>
              <w:widowControl/>
              <w:spacing w:line="420" w:lineRule="exact"/>
              <w:jc w:val="left"/>
              <w:textAlignment w:val="center"/>
              <w:rPr>
                <w:rFonts w:ascii="宋体" w:hAnsi="宋体" w:cs="宋体"/>
                <w:bCs/>
                <w:color w:val="000000"/>
                <w:kern w:val="0"/>
                <w:sz w:val="24"/>
              </w:rPr>
            </w:pPr>
            <w:r>
              <w:rPr>
                <w:rFonts w:hint="eastAsia" w:ascii="宋体" w:hAnsi="宋体" w:cs="宋体"/>
                <w:bCs/>
                <w:color w:val="000000"/>
                <w:kern w:val="0"/>
                <w:sz w:val="24"/>
              </w:rPr>
              <w:t>注:投标时需提供以上人员相关资质证书扫描件并加盖投标人公章以及上述人员企业为其在社保部门缴纳的社保纳证明2023年5月-2023年10月连续的社保缴纳记录)，以上材料提供不全的不得分。</w:t>
            </w:r>
          </w:p>
        </w:tc>
      </w:tr>
      <w:tr>
        <w:tblPrEx>
          <w:tblCellMar>
            <w:top w:w="0" w:type="dxa"/>
            <w:left w:w="108" w:type="dxa"/>
            <w:bottom w:w="0" w:type="dxa"/>
            <w:right w:w="108" w:type="dxa"/>
          </w:tblCellMar>
        </w:tblPrEx>
        <w:trPr>
          <w:trHeight w:val="3676" w:hRule="atLeast"/>
          <w:jc w:val="center"/>
        </w:trPr>
        <w:tc>
          <w:tcPr>
            <w:tcW w:w="826" w:type="dxa"/>
            <w:tcBorders>
              <w:top w:val="single" w:color="000000" w:sz="4" w:space="0"/>
              <w:left w:val="single" w:color="000000" w:sz="4" w:space="0"/>
              <w:bottom w:val="single" w:color="auto" w:sz="4" w:space="0"/>
              <w:right w:val="single" w:color="000000" w:sz="4" w:space="0"/>
            </w:tcBorders>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4</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异地灾备产品实力证明</w:t>
            </w:r>
          </w:p>
        </w:tc>
        <w:tc>
          <w:tcPr>
            <w:tcW w:w="80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5</w:t>
            </w:r>
          </w:p>
        </w:tc>
        <w:tc>
          <w:tcPr>
            <w:tcW w:w="6455"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textAlignment w:val="center"/>
              <w:rPr>
                <w:rFonts w:ascii="宋体" w:hAnsi="宋体" w:cs="宋体"/>
                <w:bCs/>
                <w:color w:val="000000"/>
                <w:kern w:val="0"/>
                <w:sz w:val="24"/>
              </w:rPr>
            </w:pPr>
            <w:r>
              <w:rPr>
                <w:rFonts w:hint="eastAsia" w:ascii="宋体" w:hAnsi="宋体" w:cs="宋体"/>
                <w:color w:val="000000"/>
                <w:kern w:val="0"/>
                <w:sz w:val="24"/>
              </w:rPr>
              <w:t>1、投标人或所投产品制造商需具备信息技术服务能力标准 ITSS 一级（云计算服务能力）以上资质证书得2分；</w:t>
            </w:r>
            <w:r>
              <w:rPr>
                <w:rFonts w:hint="eastAsia" w:ascii="宋体" w:hAnsi="宋体" w:cs="宋体"/>
                <w:bCs/>
                <w:color w:val="000000"/>
                <w:kern w:val="0"/>
                <w:sz w:val="24"/>
              </w:rPr>
              <w:t>提供：资质证书复印件并加盖投标人公章。</w:t>
            </w:r>
          </w:p>
          <w:p>
            <w:pPr>
              <w:widowControl/>
              <w:spacing w:line="420" w:lineRule="exact"/>
              <w:jc w:val="left"/>
              <w:textAlignment w:val="center"/>
              <w:rPr>
                <w:rFonts w:ascii="宋体" w:hAnsi="宋体" w:cs="宋体"/>
                <w:bCs/>
                <w:color w:val="000000"/>
                <w:kern w:val="0"/>
                <w:sz w:val="24"/>
              </w:rPr>
            </w:pPr>
            <w:r>
              <w:rPr>
                <w:rFonts w:hint="eastAsia" w:ascii="宋体" w:hAnsi="宋体" w:cs="宋体"/>
                <w:color w:val="000000"/>
                <w:kern w:val="0"/>
                <w:sz w:val="24"/>
              </w:rPr>
              <w:t>2、投标人为本项目提供的解决方案需满足“云灾备容灾解决方案评估”的认证证书的得2分，否则不得分；</w:t>
            </w:r>
            <w:r>
              <w:rPr>
                <w:rFonts w:hint="eastAsia" w:ascii="宋体" w:hAnsi="宋体" w:cs="宋体"/>
                <w:bCs/>
                <w:color w:val="000000"/>
                <w:kern w:val="0"/>
                <w:sz w:val="24"/>
              </w:rPr>
              <w:t>提供第三方认证机构官网截图以及第三方认证机构认证证书的复印件，并加盖投标人公章。</w:t>
            </w:r>
          </w:p>
          <w:p>
            <w:pPr>
              <w:widowControl/>
              <w:spacing w:line="420" w:lineRule="exact"/>
              <w:jc w:val="left"/>
              <w:textAlignment w:val="center"/>
              <w:rPr>
                <w:rFonts w:ascii="宋体" w:hAnsi="宋体" w:cs="宋体"/>
                <w:color w:val="000000"/>
                <w:kern w:val="0"/>
                <w:sz w:val="24"/>
              </w:rPr>
            </w:pPr>
            <w:r>
              <w:rPr>
                <w:rFonts w:hint="eastAsia" w:ascii="宋体" w:hAnsi="宋体" w:cs="宋体"/>
                <w:color w:val="000000"/>
                <w:kern w:val="0"/>
                <w:sz w:val="24"/>
              </w:rPr>
              <w:t>3、投标人为本项目提供的云资源获得“云安全中心”的认证证书的得1分，否则不得分；</w:t>
            </w:r>
            <w:r>
              <w:rPr>
                <w:rFonts w:hint="eastAsia" w:ascii="宋体" w:hAnsi="宋体" w:cs="宋体"/>
                <w:bCs/>
                <w:color w:val="000000"/>
                <w:kern w:val="0"/>
                <w:sz w:val="24"/>
              </w:rPr>
              <w:t>提供第三方认证机构官网截图以及第三方认证机构认证证书的复印件，并加盖投标人公章。</w:t>
            </w:r>
          </w:p>
        </w:tc>
      </w:tr>
      <w:tr>
        <w:tblPrEx>
          <w:tblCellMar>
            <w:top w:w="0" w:type="dxa"/>
            <w:left w:w="108" w:type="dxa"/>
            <w:bottom w:w="0" w:type="dxa"/>
            <w:right w:w="108" w:type="dxa"/>
          </w:tblCellMar>
        </w:tblPrEx>
        <w:trPr>
          <w:trHeight w:val="1024" w:hRule="atLeast"/>
          <w:jc w:val="center"/>
        </w:trPr>
        <w:tc>
          <w:tcPr>
            <w:tcW w:w="826" w:type="dxa"/>
            <w:tcBorders>
              <w:top w:val="single" w:color="auto" w:sz="4" w:space="0"/>
              <w:left w:val="single" w:color="000000" w:sz="4" w:space="0"/>
              <w:bottom w:val="single" w:color="auto" w:sz="4" w:space="0"/>
              <w:right w:val="single" w:color="000000" w:sz="4" w:space="0"/>
            </w:tcBorders>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5</w:t>
            </w:r>
          </w:p>
        </w:tc>
        <w:tc>
          <w:tcPr>
            <w:tcW w:w="1434" w:type="dxa"/>
            <w:tcBorders>
              <w:top w:val="single" w:color="000000" w:sz="4" w:space="0"/>
              <w:left w:val="single" w:color="000000" w:sz="4" w:space="0"/>
              <w:bottom w:val="single" w:color="auto" w:sz="4" w:space="0"/>
              <w:right w:val="single" w:color="000000" w:sz="4" w:space="0"/>
            </w:tcBorders>
            <w:noWrap/>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类似业绩</w:t>
            </w:r>
          </w:p>
        </w:tc>
        <w:tc>
          <w:tcPr>
            <w:tcW w:w="804" w:type="dxa"/>
            <w:tcBorders>
              <w:top w:val="single" w:color="000000" w:sz="4" w:space="0"/>
              <w:left w:val="single" w:color="000000" w:sz="4" w:space="0"/>
              <w:bottom w:val="single" w:color="auto" w:sz="4" w:space="0"/>
              <w:right w:val="single" w:color="000000" w:sz="4" w:space="0"/>
            </w:tcBorders>
            <w:noWrap/>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sz w:val="24"/>
              </w:rPr>
              <w:t>4</w:t>
            </w:r>
          </w:p>
        </w:tc>
        <w:tc>
          <w:tcPr>
            <w:tcW w:w="6455" w:type="dxa"/>
            <w:tcBorders>
              <w:top w:val="single" w:color="000000" w:sz="4" w:space="0"/>
              <w:left w:val="single" w:color="000000" w:sz="4" w:space="0"/>
              <w:bottom w:val="single" w:color="auto" w:sz="4" w:space="0"/>
              <w:right w:val="single" w:color="000000" w:sz="4" w:space="0"/>
            </w:tcBorders>
            <w:vAlign w:val="center"/>
          </w:tcPr>
          <w:p>
            <w:pPr>
              <w:widowControl/>
              <w:spacing w:line="420" w:lineRule="exact"/>
              <w:jc w:val="left"/>
              <w:textAlignment w:val="center"/>
              <w:rPr>
                <w:rFonts w:ascii="宋体" w:hAnsi="宋体" w:cs="宋体"/>
                <w:color w:val="000000"/>
                <w:sz w:val="24"/>
              </w:rPr>
            </w:pPr>
            <w:r>
              <w:rPr>
                <w:rFonts w:hint="eastAsia" w:ascii="宋体" w:hAnsi="宋体" w:cs="宋体"/>
                <w:color w:val="000000"/>
                <w:sz w:val="24"/>
              </w:rPr>
              <w:t>投标人需提供自2020 年 1月 1 日以来（时间以合同签订时间为准）具有类似业绩案例（提供案例承建单位必须与本投标主体一致），每提供1个得1分，最高得4分。提供相关合同原件扫描件并加盖投标人公章，不提供不得分。</w:t>
            </w:r>
          </w:p>
        </w:tc>
      </w:tr>
      <w:tr>
        <w:tblPrEx>
          <w:tblCellMar>
            <w:top w:w="0" w:type="dxa"/>
            <w:left w:w="108" w:type="dxa"/>
            <w:bottom w:w="0" w:type="dxa"/>
            <w:right w:w="108" w:type="dxa"/>
          </w:tblCellMar>
        </w:tblPrEx>
        <w:trPr>
          <w:trHeight w:val="1664" w:hRule="atLeast"/>
          <w:jc w:val="center"/>
        </w:trPr>
        <w:tc>
          <w:tcPr>
            <w:tcW w:w="826"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6</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sz w:val="24"/>
              </w:rPr>
              <w:t>项目方案</w:t>
            </w:r>
          </w:p>
        </w:tc>
        <w:tc>
          <w:tcPr>
            <w:tcW w:w="80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ascii="宋体" w:hAnsi="宋体" w:cs="宋体"/>
                <w:color w:val="000000"/>
                <w:sz w:val="24"/>
              </w:rPr>
            </w:pPr>
            <w:r>
              <w:rPr>
                <w:rFonts w:hint="eastAsia" w:ascii="宋体" w:hAnsi="宋体" w:cs="宋体"/>
                <w:color w:val="000000"/>
                <w:kern w:val="0"/>
                <w:sz w:val="24"/>
              </w:rPr>
              <w:t>12</w:t>
            </w:r>
          </w:p>
        </w:tc>
        <w:tc>
          <w:tcPr>
            <w:tcW w:w="6455"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textAlignment w:val="center"/>
              <w:rPr>
                <w:rFonts w:ascii="宋体" w:hAnsi="宋体" w:cs="宋体"/>
                <w:color w:val="000000"/>
                <w:kern w:val="0"/>
                <w:sz w:val="24"/>
              </w:rPr>
            </w:pPr>
            <w:r>
              <w:rPr>
                <w:rFonts w:hint="eastAsia" w:ascii="宋体" w:hAnsi="宋体" w:cs="宋体"/>
                <w:color w:val="000000"/>
                <w:kern w:val="0"/>
                <w:sz w:val="24"/>
              </w:rPr>
              <w:t>供应商根据招标需求进行集成服务的方案设计。方案内容需包含项目背景、安全巡检方案、漏洞扫描方案、安全加固方案、实施方案、实施流程、应急响应方案、人员配备、售后服务等。</w:t>
            </w:r>
          </w:p>
          <w:p>
            <w:pPr>
              <w:widowControl/>
              <w:spacing w:line="420" w:lineRule="exact"/>
              <w:jc w:val="left"/>
              <w:textAlignment w:val="center"/>
              <w:rPr>
                <w:rFonts w:ascii="宋体" w:hAnsi="宋体" w:cs="宋体"/>
                <w:color w:val="000000"/>
                <w:kern w:val="0"/>
                <w:sz w:val="24"/>
              </w:rPr>
            </w:pPr>
            <w:r>
              <w:rPr>
                <w:rFonts w:hint="eastAsia" w:ascii="宋体" w:hAnsi="宋体" w:cs="宋体"/>
                <w:color w:val="000000"/>
                <w:kern w:val="0"/>
                <w:sz w:val="24"/>
              </w:rPr>
              <w:t>方案非常详细、完善、合理，可行性非常强，能完全满足或优于项目需求的得9-12分。</w:t>
            </w:r>
          </w:p>
          <w:p>
            <w:pPr>
              <w:widowControl/>
              <w:spacing w:line="420" w:lineRule="exact"/>
              <w:jc w:val="left"/>
              <w:textAlignment w:val="center"/>
              <w:rPr>
                <w:rFonts w:ascii="宋体" w:hAnsi="宋体" w:cs="宋体"/>
                <w:color w:val="000000"/>
                <w:kern w:val="0"/>
                <w:sz w:val="24"/>
              </w:rPr>
            </w:pPr>
            <w:r>
              <w:rPr>
                <w:rFonts w:hint="eastAsia" w:ascii="宋体" w:hAnsi="宋体" w:cs="宋体"/>
                <w:color w:val="000000"/>
                <w:kern w:val="0"/>
                <w:sz w:val="24"/>
              </w:rPr>
              <w:t>方案较详细、完善、合理，可行性较强，能基本满足项目需求的得5-8分。</w:t>
            </w:r>
          </w:p>
          <w:p>
            <w:pPr>
              <w:widowControl/>
              <w:spacing w:line="420" w:lineRule="exact"/>
              <w:jc w:val="left"/>
              <w:textAlignment w:val="center"/>
              <w:rPr>
                <w:rFonts w:ascii="宋体" w:hAnsi="宋体" w:cs="宋体"/>
                <w:color w:val="000000"/>
                <w:kern w:val="0"/>
                <w:sz w:val="24"/>
              </w:rPr>
            </w:pPr>
            <w:r>
              <w:rPr>
                <w:rFonts w:hint="eastAsia" w:ascii="宋体" w:hAnsi="宋体" w:cs="宋体"/>
                <w:color w:val="000000"/>
                <w:kern w:val="0"/>
                <w:sz w:val="24"/>
              </w:rPr>
              <w:t>方案不够详细、完善、合理，可行性差，能满足项目部分需求的得0-4分。</w:t>
            </w:r>
          </w:p>
          <w:p>
            <w:pPr>
              <w:widowControl/>
              <w:spacing w:line="420" w:lineRule="exact"/>
              <w:jc w:val="left"/>
              <w:textAlignment w:val="center"/>
              <w:rPr>
                <w:rFonts w:ascii="宋体" w:hAnsi="宋体"/>
                <w:sz w:val="24"/>
              </w:rPr>
            </w:pPr>
            <w:r>
              <w:rPr>
                <w:rFonts w:hint="eastAsia" w:ascii="宋体" w:hAnsi="宋体" w:cs="宋体"/>
                <w:color w:val="000000"/>
                <w:kern w:val="0"/>
                <w:sz w:val="24"/>
              </w:rPr>
              <w:t>不提供不得分。</w:t>
            </w:r>
          </w:p>
        </w:tc>
      </w:tr>
    </w:tbl>
    <w:p>
      <w:pPr>
        <w:ind w:firstLine="480" w:firstLineChars="200"/>
        <w:rPr>
          <w:rFonts w:ascii="宋体" w:hAnsi="宋体"/>
          <w:sz w:val="24"/>
        </w:rPr>
      </w:pPr>
      <w:r>
        <w:rPr>
          <w:rFonts w:ascii="宋体" w:hAnsi="宋体"/>
          <w:sz w:val="24"/>
        </w:rPr>
        <w:t>技术分取各位评委打分的平均值，分值保留小数点后两位。</w:t>
      </w:r>
    </w:p>
    <w:p>
      <w:pPr>
        <w:spacing w:line="420" w:lineRule="exact"/>
        <w:ind w:firstLine="482" w:firstLineChars="200"/>
        <w:rPr>
          <w:rFonts w:ascii="宋体" w:hAnsi="宋体" w:cs="宋体"/>
          <w:b/>
          <w:bCs/>
          <w:sz w:val="24"/>
        </w:rPr>
      </w:pPr>
      <w:r>
        <w:rPr>
          <w:rFonts w:ascii="宋体" w:hAnsi="宋体"/>
          <w:b/>
          <w:sz w:val="24"/>
        </w:rPr>
        <w:t>(二)</w:t>
      </w:r>
      <w:r>
        <w:rPr>
          <w:rFonts w:hint="eastAsia" w:ascii="宋体" w:hAnsi="宋体" w:cs="宋体"/>
          <w:b/>
          <w:bCs/>
          <w:sz w:val="24"/>
        </w:rPr>
        <w:t>价格分（30分）</w:t>
      </w:r>
    </w:p>
    <w:p>
      <w:pPr>
        <w:snapToGrid w:val="0"/>
        <w:spacing w:line="420" w:lineRule="exact"/>
        <w:ind w:firstLine="480" w:firstLineChars="200"/>
        <w:rPr>
          <w:rFonts w:ascii="宋体" w:hAnsi="宋体"/>
          <w:sz w:val="24"/>
        </w:rPr>
      </w:pPr>
      <w:r>
        <w:rPr>
          <w:rFonts w:hint="eastAsia" w:ascii="宋体" w:hAnsi="宋体"/>
          <w:sz w:val="24"/>
        </w:rPr>
        <w:t>1、投标报价低于或等于采购预算价格</w:t>
      </w:r>
      <w:r>
        <w:rPr>
          <w:rFonts w:hint="eastAsia" w:ascii="宋体" w:hAnsi="宋体"/>
          <w:color w:val="FF0000"/>
          <w:sz w:val="24"/>
        </w:rPr>
        <w:t>40万元</w:t>
      </w:r>
      <w:r>
        <w:rPr>
          <w:rFonts w:hint="eastAsia" w:ascii="宋体" w:hAnsi="宋体"/>
          <w:sz w:val="24"/>
        </w:rPr>
        <w:t>的，为有效投标报价。超采购预算的投标报价为无效投标报价。</w:t>
      </w:r>
    </w:p>
    <w:p>
      <w:pPr>
        <w:snapToGrid w:val="0"/>
        <w:spacing w:line="420" w:lineRule="exact"/>
        <w:ind w:firstLine="480" w:firstLineChars="200"/>
        <w:rPr>
          <w:rFonts w:ascii="宋体" w:hAnsi="宋体" w:cs="宋体"/>
          <w:color w:val="000000"/>
          <w:kern w:val="0"/>
          <w:sz w:val="24"/>
        </w:rPr>
      </w:pPr>
      <w:r>
        <w:rPr>
          <w:rFonts w:hint="eastAsia" w:ascii="宋体" w:hAnsi="宋体" w:cs="宋体"/>
          <w:color w:val="000000"/>
          <w:kern w:val="0"/>
          <w:sz w:val="24"/>
        </w:rPr>
        <w:t>2、价格分统一采用低价优先法计算，即满足招标文件要求且最后报价最低的投标报价为评标基准价，其价格分为满分。其他投标报价得分统一按照下列公式计算：</w:t>
      </w:r>
    </w:p>
    <w:p>
      <w:pPr>
        <w:snapToGrid w:val="0"/>
        <w:spacing w:line="420" w:lineRule="exact"/>
        <w:ind w:firstLine="480" w:firstLineChars="200"/>
        <w:rPr>
          <w:rFonts w:ascii="宋体" w:hAnsi="宋体"/>
          <w:sz w:val="24"/>
        </w:rPr>
      </w:pPr>
      <w:r>
        <w:rPr>
          <w:rFonts w:hint="eastAsia" w:ascii="宋体" w:hAnsi="宋体" w:cs="宋体"/>
          <w:color w:val="000000"/>
          <w:kern w:val="0"/>
          <w:sz w:val="24"/>
        </w:rPr>
        <w:t>投标报价得分=（评标基准价/投标报价）×价格权值×100</w:t>
      </w:r>
    </w:p>
    <w:p>
      <w:pPr>
        <w:snapToGrid w:val="0"/>
        <w:spacing w:line="420" w:lineRule="exact"/>
        <w:ind w:firstLine="570"/>
        <w:rPr>
          <w:rFonts w:ascii="宋体" w:hAnsi="宋体"/>
          <w:b/>
          <w:sz w:val="24"/>
        </w:rPr>
      </w:pPr>
      <w:r>
        <w:rPr>
          <w:rFonts w:hint="eastAsia" w:ascii="宋体" w:hAnsi="宋体" w:cs="宋体"/>
          <w:b/>
          <w:sz w:val="24"/>
        </w:rPr>
        <w:t>本办法未尽事宜，由评标委员会依据相关法规研究确定。</w:t>
      </w:r>
    </w:p>
    <w:p>
      <w:pPr>
        <w:snapToGrid w:val="0"/>
        <w:spacing w:line="420" w:lineRule="exact"/>
        <w:ind w:firstLine="482" w:firstLineChars="200"/>
        <w:jc w:val="left"/>
        <w:rPr>
          <w:rFonts w:ascii="宋体" w:hAnsi="宋体"/>
          <w:b/>
          <w:sz w:val="24"/>
        </w:rPr>
      </w:pPr>
      <w:r>
        <w:rPr>
          <w:rFonts w:ascii="宋体" w:hAnsi="宋体"/>
          <w:b/>
          <w:sz w:val="24"/>
        </w:rPr>
        <w:t>八、中标人及中标价的确定</w:t>
      </w:r>
    </w:p>
    <w:p>
      <w:pPr>
        <w:snapToGrid w:val="0"/>
        <w:spacing w:line="420" w:lineRule="exact"/>
        <w:ind w:firstLine="570"/>
        <w:rPr>
          <w:rFonts w:ascii="宋体" w:hAnsi="宋体"/>
          <w:sz w:val="24"/>
        </w:rPr>
      </w:pPr>
      <w:r>
        <w:rPr>
          <w:rFonts w:ascii="宋体" w:hAnsi="宋体"/>
          <w:sz w:val="24"/>
        </w:rPr>
        <w:t>1、汇总三项分数后，推荐得分最高者为中标单位。</w:t>
      </w:r>
    </w:p>
    <w:p>
      <w:pPr>
        <w:snapToGrid w:val="0"/>
        <w:spacing w:line="420" w:lineRule="exact"/>
        <w:ind w:firstLine="570"/>
        <w:rPr>
          <w:rFonts w:ascii="宋体" w:hAnsi="宋体"/>
          <w:sz w:val="24"/>
        </w:rPr>
      </w:pPr>
      <w:r>
        <w:rPr>
          <w:rFonts w:ascii="宋体" w:hAnsi="宋体"/>
          <w:sz w:val="24"/>
        </w:rPr>
        <w:t>2、如出现二个及以上相同的最高分，按项目维保投标报价分高的推荐为中标单位。</w:t>
      </w:r>
    </w:p>
    <w:p>
      <w:pPr>
        <w:snapToGrid w:val="0"/>
        <w:spacing w:line="420" w:lineRule="exact"/>
        <w:ind w:firstLine="570"/>
        <w:rPr>
          <w:rFonts w:ascii="宋体" w:hAnsi="宋体"/>
          <w:sz w:val="24"/>
        </w:rPr>
      </w:pPr>
      <w:r>
        <w:rPr>
          <w:rFonts w:ascii="宋体" w:hAnsi="宋体"/>
          <w:sz w:val="24"/>
        </w:rPr>
        <w:t>3、如综合得分且投标报价也相同的，现场随机抽签决定。</w:t>
      </w:r>
    </w:p>
    <w:p>
      <w:pPr>
        <w:snapToGrid w:val="0"/>
        <w:spacing w:line="420" w:lineRule="exact"/>
        <w:ind w:firstLine="477" w:firstLineChars="198"/>
        <w:rPr>
          <w:rFonts w:ascii="宋体" w:hAnsi="宋体"/>
          <w:b/>
          <w:sz w:val="24"/>
        </w:rPr>
      </w:pPr>
      <w:r>
        <w:rPr>
          <w:rFonts w:ascii="宋体" w:hAnsi="宋体"/>
          <w:b/>
          <w:sz w:val="24"/>
        </w:rPr>
        <w:t>九、其他注意事项</w:t>
      </w:r>
    </w:p>
    <w:p>
      <w:pPr>
        <w:snapToGrid w:val="0"/>
        <w:spacing w:line="420" w:lineRule="exact"/>
        <w:ind w:firstLine="570"/>
        <w:rPr>
          <w:rFonts w:ascii="宋体" w:hAnsi="宋体"/>
          <w:sz w:val="24"/>
        </w:rPr>
      </w:pPr>
      <w:r>
        <w:rPr>
          <w:rFonts w:ascii="宋体" w:hAnsi="宋体"/>
          <w:sz w:val="24"/>
        </w:rPr>
        <w:t>1</w:t>
      </w:r>
      <w:r>
        <w:rPr>
          <w:rFonts w:hint="eastAsia" w:ascii="宋体" w:hAnsi="宋体"/>
          <w:sz w:val="24"/>
        </w:rPr>
        <w:t>.</w:t>
      </w:r>
      <w:r>
        <w:rPr>
          <w:rFonts w:ascii="宋体" w:hAnsi="宋体"/>
          <w:sz w:val="24"/>
        </w:rPr>
        <w:t>在开标、评审期间，投标人不得向评委询问情况，不得进行旨在影响评标结果的活动。</w:t>
      </w:r>
    </w:p>
    <w:p>
      <w:pPr>
        <w:snapToGrid w:val="0"/>
        <w:spacing w:line="420" w:lineRule="exact"/>
        <w:ind w:firstLine="570"/>
        <w:rPr>
          <w:rFonts w:ascii="宋体" w:hAnsi="宋体"/>
          <w:sz w:val="24"/>
        </w:rPr>
      </w:pPr>
      <w:r>
        <w:rPr>
          <w:rFonts w:ascii="宋体" w:hAnsi="宋体"/>
          <w:sz w:val="24"/>
        </w:rPr>
        <w:t>2</w:t>
      </w:r>
      <w:r>
        <w:rPr>
          <w:rFonts w:hint="eastAsia" w:ascii="宋体" w:hAnsi="宋体"/>
          <w:sz w:val="24"/>
        </w:rPr>
        <w:t>.</w:t>
      </w:r>
      <w:r>
        <w:rPr>
          <w:rFonts w:ascii="宋体" w:hAnsi="宋体"/>
          <w:sz w:val="24"/>
        </w:rPr>
        <w:t>评委会不得向投标人解释落标原因。</w:t>
      </w:r>
    </w:p>
    <w:p>
      <w:pPr>
        <w:snapToGrid w:val="0"/>
        <w:spacing w:line="420" w:lineRule="exact"/>
        <w:ind w:firstLine="570"/>
        <w:rPr>
          <w:rFonts w:ascii="宋体" w:hAnsi="宋体"/>
          <w:sz w:val="24"/>
        </w:rPr>
      </w:pPr>
      <w:r>
        <w:rPr>
          <w:rFonts w:ascii="宋体" w:hAnsi="宋体"/>
          <w:sz w:val="24"/>
        </w:rPr>
        <w:t>3</w:t>
      </w:r>
      <w:r>
        <w:rPr>
          <w:rFonts w:hint="eastAsia" w:ascii="宋体" w:hAnsi="宋体"/>
          <w:sz w:val="24"/>
        </w:rPr>
        <w:t>.</w:t>
      </w:r>
      <w:r>
        <w:rPr>
          <w:rFonts w:ascii="宋体" w:hAnsi="宋体"/>
          <w:sz w:val="24"/>
        </w:rPr>
        <w:t>在投标、评标过程中，如果投标人联合故意压低报价或出现其他不正当行为，采购人有权中止投标或评标。</w:t>
      </w:r>
    </w:p>
    <w:p>
      <w:pPr>
        <w:snapToGrid w:val="0"/>
        <w:spacing w:line="420" w:lineRule="exact"/>
        <w:ind w:firstLine="570"/>
        <w:rPr>
          <w:rFonts w:ascii="宋体" w:hAnsi="宋体"/>
          <w:sz w:val="24"/>
        </w:rPr>
      </w:pPr>
      <w:r>
        <w:rPr>
          <w:rFonts w:ascii="宋体" w:hAnsi="宋体"/>
          <w:sz w:val="24"/>
        </w:rPr>
        <w:t>4</w:t>
      </w:r>
      <w:r>
        <w:rPr>
          <w:rFonts w:hint="eastAsia" w:ascii="宋体" w:hAnsi="宋体"/>
          <w:sz w:val="24"/>
        </w:rPr>
        <w:t>.</w:t>
      </w:r>
      <w:r>
        <w:rPr>
          <w:rFonts w:ascii="宋体" w:hAnsi="宋体"/>
          <w:sz w:val="24"/>
        </w:rPr>
        <w:t>凡在投标、开标过程中，采购人已提示是否异议的事项，投标人当时没有提出异议的，事后投标人不得针对上述事项提出质疑。比如：采购人在开标中提示评委是否回避，投标人现场未提出异议的，事后不得针对评委回避事项提出质疑。</w:t>
      </w:r>
    </w:p>
    <w:p>
      <w:pPr>
        <w:snapToGrid w:val="0"/>
        <w:spacing w:line="420" w:lineRule="exact"/>
        <w:ind w:firstLine="482" w:firstLineChars="200"/>
        <w:rPr>
          <w:rFonts w:ascii="宋体" w:hAnsi="宋体"/>
          <w:b/>
          <w:sz w:val="24"/>
        </w:rPr>
      </w:pPr>
      <w:r>
        <w:rPr>
          <w:rFonts w:ascii="宋体" w:hAnsi="宋体"/>
          <w:b/>
          <w:sz w:val="24"/>
        </w:rPr>
        <w:t>十、中标通知</w:t>
      </w:r>
    </w:p>
    <w:p>
      <w:pPr>
        <w:snapToGrid w:val="0"/>
        <w:spacing w:line="420" w:lineRule="exact"/>
        <w:ind w:firstLine="570"/>
        <w:rPr>
          <w:rFonts w:ascii="宋体" w:hAnsi="宋体"/>
          <w:sz w:val="24"/>
        </w:rPr>
      </w:pPr>
      <w:r>
        <w:rPr>
          <w:rFonts w:ascii="宋体" w:hAnsi="宋体"/>
          <w:sz w:val="24"/>
        </w:rPr>
        <w:t>中标结果在</w:t>
      </w:r>
      <w:r>
        <w:rPr>
          <w:rFonts w:hint="eastAsia" w:ascii="宋体" w:hAnsi="宋体" w:cs="宋体"/>
          <w:sz w:val="24"/>
        </w:rPr>
        <w:t>南通市中央创新区建设投资有限公司网站（http://www.ntscid.cn/）</w:t>
      </w:r>
      <w:r>
        <w:rPr>
          <w:rFonts w:ascii="宋体" w:hAnsi="宋体"/>
          <w:sz w:val="24"/>
        </w:rPr>
        <w:t>公示，公示期限为1个工作日。《中标通知书》一经发出，如采购单位改变中标结果，或者中标</w:t>
      </w:r>
      <w:r>
        <w:rPr>
          <w:rFonts w:hint="eastAsia" w:ascii="宋体" w:hAnsi="宋体"/>
          <w:sz w:val="24"/>
        </w:rPr>
        <w:t>人</w:t>
      </w:r>
      <w:r>
        <w:rPr>
          <w:rFonts w:ascii="宋体" w:hAnsi="宋体"/>
          <w:sz w:val="24"/>
        </w:rPr>
        <w:t>放弃中标的，各自承担相应的法律责任。《中标通知书》是采购合同的组成部分。</w:t>
      </w:r>
    </w:p>
    <w:p>
      <w:pPr>
        <w:snapToGrid w:val="0"/>
        <w:spacing w:line="420" w:lineRule="exact"/>
        <w:ind w:firstLine="570"/>
        <w:rPr>
          <w:rFonts w:ascii="宋体" w:hAnsi="宋体"/>
          <w:sz w:val="28"/>
          <w:szCs w:val="28"/>
        </w:rPr>
      </w:pPr>
    </w:p>
    <w:p>
      <w:pPr>
        <w:snapToGrid w:val="0"/>
        <w:spacing w:line="420" w:lineRule="exact"/>
        <w:ind w:firstLine="570"/>
        <w:rPr>
          <w:rFonts w:ascii="宋体" w:hAnsi="宋体"/>
          <w:sz w:val="28"/>
          <w:szCs w:val="28"/>
        </w:rPr>
      </w:pPr>
    </w:p>
    <w:p>
      <w:pPr>
        <w:snapToGrid w:val="0"/>
        <w:spacing w:line="420" w:lineRule="exact"/>
        <w:ind w:left="723"/>
        <w:jc w:val="center"/>
        <w:rPr>
          <w:rFonts w:ascii="宋体" w:hAnsi="宋体"/>
          <w:b/>
          <w:bCs/>
          <w:sz w:val="36"/>
          <w:szCs w:val="36"/>
        </w:rPr>
      </w:pPr>
      <w:r>
        <w:rPr>
          <w:rFonts w:hint="eastAsia" w:ascii="宋体" w:hAnsi="宋体"/>
          <w:b/>
          <w:bCs/>
          <w:sz w:val="36"/>
          <w:szCs w:val="36"/>
        </w:rPr>
        <w:t>第五部分  合同及履约保证</w:t>
      </w:r>
    </w:p>
    <w:p>
      <w:pPr>
        <w:snapToGrid w:val="0"/>
        <w:spacing w:line="420" w:lineRule="exact"/>
        <w:ind w:left="723"/>
        <w:jc w:val="center"/>
        <w:rPr>
          <w:rFonts w:ascii="宋体" w:hAnsi="宋体"/>
          <w:b/>
          <w:bCs/>
          <w:sz w:val="36"/>
          <w:szCs w:val="36"/>
        </w:rPr>
      </w:pPr>
    </w:p>
    <w:p>
      <w:pPr>
        <w:spacing w:line="420" w:lineRule="exact"/>
        <w:ind w:firstLine="480" w:firstLineChars="200"/>
        <w:rPr>
          <w:rFonts w:hAnsi="宋体"/>
          <w:sz w:val="24"/>
        </w:rPr>
      </w:pPr>
      <w:r>
        <w:rPr>
          <w:rFonts w:hint="eastAsia" w:hAnsi="宋体"/>
          <w:sz w:val="24"/>
        </w:rPr>
        <w:t>一、中标人和采购单位自中标（成交）通知书发出之日起30日内按时签订合同。合同签订后中标人方可履约，否则引起的一切后果由中标人自行承担。所签合同不得对采购文件作实质性修改。采购单位不得向中标人提出不合理的要求作为签订合同的条件，不得与中标人私下订立背离采购文件实质性内容的协议。</w:t>
      </w:r>
    </w:p>
    <w:p>
      <w:pPr>
        <w:spacing w:line="420" w:lineRule="exact"/>
        <w:ind w:firstLine="480" w:firstLineChars="200"/>
        <w:rPr>
          <w:rFonts w:hAnsi="宋体"/>
          <w:sz w:val="24"/>
        </w:rPr>
      </w:pPr>
      <w:r>
        <w:rPr>
          <w:rFonts w:hint="eastAsia" w:hAnsi="宋体"/>
          <w:sz w:val="24"/>
        </w:rPr>
        <w:t>二、</w:t>
      </w:r>
      <w:bookmarkStart w:id="23" w:name="OLE_LINK2"/>
      <w:bookmarkStart w:id="24" w:name="OLE_LINK1"/>
      <w:r>
        <w:rPr>
          <w:rFonts w:hint="eastAsia" w:hAnsi="宋体"/>
          <w:sz w:val="24"/>
        </w:rPr>
        <w:t>采购单位按合同约定积极配合中标人履约，中标人履约到位后，请以书面形式向采购单位提出验收申请，采购单位接到申请后原则上在10个工作日内及时组织相关人员共同参与验收，并出具验收报告，作为支付货款的依据。</w:t>
      </w:r>
    </w:p>
    <w:p>
      <w:pPr>
        <w:spacing w:line="420" w:lineRule="exact"/>
        <w:ind w:firstLine="480" w:firstLineChars="200"/>
        <w:rPr>
          <w:rFonts w:hAnsi="宋体"/>
          <w:sz w:val="24"/>
        </w:rPr>
      </w:pPr>
      <w:r>
        <w:rPr>
          <w:rFonts w:hint="eastAsia" w:hAnsi="宋体"/>
          <w:sz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pacing w:line="420" w:lineRule="exact"/>
        <w:ind w:firstLine="480" w:firstLineChars="200"/>
        <w:rPr>
          <w:rFonts w:hAnsi="宋体"/>
          <w:sz w:val="24"/>
        </w:rPr>
      </w:pPr>
      <w:r>
        <w:rPr>
          <w:rFonts w:hint="eastAsia" w:hAnsi="宋体"/>
          <w:sz w:val="24"/>
        </w:rPr>
        <w:t>四、中标人出现违约情形，应当及时纠正或补偿；造成损失的，按合同约定追究违约责任；发现有假冒、伪劣、走私产品、商业贿赂等违法情形的，应由采购单位移交工商、质监、公安等行政执法部门依法查处。</w:t>
      </w:r>
    </w:p>
    <w:p>
      <w:pPr>
        <w:spacing w:line="420" w:lineRule="exact"/>
        <w:ind w:firstLine="480" w:firstLineChars="200"/>
        <w:rPr>
          <w:rFonts w:hAnsi="宋体"/>
          <w:sz w:val="24"/>
        </w:rPr>
      </w:pPr>
      <w:r>
        <w:rPr>
          <w:rFonts w:hint="eastAsia" w:hAnsi="宋体"/>
          <w:sz w:val="24"/>
        </w:rPr>
        <w:t>五、不响应付款方式的，视同无效投标处理。款项由采购单位按相关财务支付规定办理支付手续，不得故意拖延支付时间</w:t>
      </w:r>
      <w:bookmarkEnd w:id="23"/>
      <w:bookmarkEnd w:id="24"/>
      <w:r>
        <w:rPr>
          <w:rFonts w:hint="eastAsia" w:hAnsi="宋体"/>
          <w:sz w:val="24"/>
        </w:rPr>
        <w:t>。</w:t>
      </w:r>
    </w:p>
    <w:p>
      <w:pPr>
        <w:snapToGrid w:val="0"/>
        <w:spacing w:line="420" w:lineRule="exact"/>
        <w:jc w:val="center"/>
        <w:rPr>
          <w:rFonts w:ascii="宋体" w:hAnsi="宋体"/>
          <w:sz w:val="24"/>
        </w:rPr>
      </w:pPr>
    </w:p>
    <w:p>
      <w:pPr>
        <w:spacing w:line="420" w:lineRule="exact"/>
        <w:jc w:val="center"/>
        <w:rPr>
          <w:rFonts w:ascii="宋体" w:hAnsi="宋体"/>
          <w:b/>
          <w:sz w:val="36"/>
          <w:szCs w:val="36"/>
        </w:rPr>
      </w:pPr>
      <w:r>
        <w:rPr>
          <w:rFonts w:hint="eastAsia" w:ascii="宋体" w:hAnsi="宋体"/>
          <w:b/>
          <w:sz w:val="36"/>
          <w:szCs w:val="36"/>
        </w:rPr>
        <w:t>第六部分  质疑提出和处理</w:t>
      </w:r>
    </w:p>
    <w:p>
      <w:pPr>
        <w:autoSpaceDE w:val="0"/>
        <w:autoSpaceDN w:val="0"/>
        <w:adjustRightInd w:val="0"/>
        <w:snapToGrid w:val="0"/>
        <w:spacing w:line="420" w:lineRule="exact"/>
        <w:ind w:firstLine="482" w:firstLineChars="200"/>
        <w:contextualSpacing/>
        <w:rPr>
          <w:rFonts w:hAnsi="宋体"/>
          <w:b/>
          <w:kern w:val="0"/>
          <w:sz w:val="24"/>
        </w:rPr>
      </w:pPr>
    </w:p>
    <w:p>
      <w:pPr>
        <w:autoSpaceDE w:val="0"/>
        <w:autoSpaceDN w:val="0"/>
        <w:adjustRightInd w:val="0"/>
        <w:snapToGrid w:val="0"/>
        <w:spacing w:line="420" w:lineRule="exact"/>
        <w:ind w:firstLine="482" w:firstLineChars="200"/>
        <w:contextualSpacing/>
        <w:rPr>
          <w:b/>
          <w:kern w:val="0"/>
          <w:sz w:val="24"/>
        </w:rPr>
      </w:pPr>
      <w:r>
        <w:rPr>
          <w:rFonts w:hAnsi="宋体"/>
          <w:b/>
          <w:kern w:val="0"/>
          <w:sz w:val="24"/>
        </w:rPr>
        <w:t>一、质疑的提出</w:t>
      </w:r>
    </w:p>
    <w:p>
      <w:pPr>
        <w:autoSpaceDE w:val="0"/>
        <w:autoSpaceDN w:val="0"/>
        <w:adjustRightInd w:val="0"/>
        <w:snapToGrid w:val="0"/>
        <w:spacing w:line="420" w:lineRule="exact"/>
        <w:ind w:firstLine="480" w:firstLineChars="200"/>
        <w:contextualSpacing/>
        <w:rPr>
          <w:kern w:val="0"/>
          <w:sz w:val="24"/>
          <w:lang w:val="zh-CN"/>
        </w:rPr>
      </w:pPr>
      <w:r>
        <w:rPr>
          <w:kern w:val="0"/>
          <w:sz w:val="24"/>
          <w:lang w:val="zh-CN"/>
        </w:rPr>
        <w:t>1</w:t>
      </w:r>
      <w:r>
        <w:rPr>
          <w:rFonts w:hAnsi="宋体"/>
          <w:kern w:val="0"/>
          <w:sz w:val="24"/>
          <w:lang w:val="zh-CN"/>
        </w:rPr>
        <w:t>、质疑人必须是直接参加本次招标活动的当事人。</w:t>
      </w:r>
    </w:p>
    <w:p>
      <w:pPr>
        <w:snapToGrid w:val="0"/>
        <w:spacing w:line="420" w:lineRule="exact"/>
        <w:ind w:firstLine="480" w:firstLineChars="200"/>
        <w:outlineLvl w:val="0"/>
        <w:rPr>
          <w:sz w:val="24"/>
        </w:rPr>
      </w:pPr>
      <w:r>
        <w:rPr>
          <w:sz w:val="24"/>
        </w:rPr>
        <w:t>2</w:t>
      </w:r>
      <w:r>
        <w:rPr>
          <w:rFonts w:hAnsi="宋体"/>
          <w:sz w:val="24"/>
        </w:rPr>
        <w:t>、领取招标文件的</w:t>
      </w:r>
      <w:r>
        <w:rPr>
          <w:rFonts w:hint="eastAsia" w:hAnsi="宋体"/>
          <w:sz w:val="24"/>
        </w:rPr>
        <w:t>投标人</w:t>
      </w:r>
      <w:r>
        <w:rPr>
          <w:rFonts w:hAnsi="宋体"/>
          <w:sz w:val="24"/>
        </w:rPr>
        <w:t>应根据第二部分</w:t>
      </w:r>
      <w:r>
        <w:rPr>
          <w:sz w:val="24"/>
        </w:rPr>
        <w:t>“</w:t>
      </w:r>
      <w:r>
        <w:rPr>
          <w:rFonts w:hAnsi="宋体"/>
          <w:sz w:val="24"/>
        </w:rPr>
        <w:t>投标须知</w:t>
      </w:r>
      <w:r>
        <w:rPr>
          <w:sz w:val="24"/>
        </w:rPr>
        <w:t>”</w:t>
      </w:r>
      <w:r>
        <w:rPr>
          <w:rFonts w:hAnsi="宋体"/>
          <w:sz w:val="24"/>
        </w:rPr>
        <w:t>中</w:t>
      </w:r>
      <w:r>
        <w:rPr>
          <w:sz w:val="24"/>
        </w:rPr>
        <w:t>“</w:t>
      </w:r>
      <w:r>
        <w:rPr>
          <w:rFonts w:hAnsi="宋体"/>
          <w:sz w:val="24"/>
        </w:rPr>
        <w:t>第一款</w:t>
      </w:r>
      <w:r>
        <w:rPr>
          <w:sz w:val="24"/>
        </w:rPr>
        <w:t>”</w:t>
      </w:r>
      <w:r>
        <w:rPr>
          <w:rFonts w:hAnsi="宋体"/>
          <w:sz w:val="24"/>
        </w:rPr>
        <w:t>的约定提出疑问；质疑提出的有效时限，见《中华人民共和国政府采购法实施条例》第五十三条。</w:t>
      </w:r>
    </w:p>
    <w:p>
      <w:pPr>
        <w:autoSpaceDE w:val="0"/>
        <w:autoSpaceDN w:val="0"/>
        <w:adjustRightInd w:val="0"/>
        <w:snapToGrid w:val="0"/>
        <w:spacing w:line="420" w:lineRule="exact"/>
        <w:ind w:firstLine="480" w:firstLineChars="200"/>
        <w:contextualSpacing/>
        <w:rPr>
          <w:kern w:val="0"/>
          <w:sz w:val="24"/>
          <w:lang w:val="zh-CN"/>
        </w:rPr>
      </w:pPr>
      <w:r>
        <w:rPr>
          <w:kern w:val="0"/>
          <w:sz w:val="24"/>
        </w:rPr>
        <w:t>3</w:t>
      </w:r>
      <w:r>
        <w:rPr>
          <w:rFonts w:hAnsi="宋体"/>
          <w:kern w:val="0"/>
          <w:sz w:val="24"/>
          <w:lang w:val="zh-CN"/>
        </w:rPr>
        <w:t>、提出质疑时，必须坚持</w:t>
      </w:r>
      <w:r>
        <w:rPr>
          <w:kern w:val="0"/>
          <w:sz w:val="24"/>
          <w:lang w:val="zh-CN"/>
        </w:rPr>
        <w:t>“</w:t>
      </w:r>
      <w:r>
        <w:rPr>
          <w:rFonts w:hAnsi="宋体"/>
          <w:kern w:val="0"/>
          <w:sz w:val="24"/>
          <w:lang w:val="zh-CN"/>
        </w:rPr>
        <w:t>谁主张，谁举证</w:t>
      </w:r>
      <w:r>
        <w:rPr>
          <w:kern w:val="0"/>
          <w:sz w:val="24"/>
          <w:lang w:val="zh-CN"/>
        </w:rPr>
        <w:t>”</w:t>
      </w:r>
      <w:r>
        <w:rPr>
          <w:rFonts w:hAnsi="宋体"/>
          <w:kern w:val="0"/>
          <w:sz w:val="24"/>
          <w:lang w:val="zh-CN"/>
        </w:rPr>
        <w:t>、</w:t>
      </w:r>
      <w:r>
        <w:rPr>
          <w:kern w:val="0"/>
          <w:sz w:val="24"/>
          <w:lang w:val="zh-CN"/>
        </w:rPr>
        <w:t>“</w:t>
      </w:r>
      <w:r>
        <w:rPr>
          <w:rFonts w:hAnsi="宋体"/>
          <w:kern w:val="0"/>
          <w:sz w:val="24"/>
          <w:lang w:val="zh-CN"/>
        </w:rPr>
        <w:t>实事求是</w:t>
      </w:r>
      <w:r>
        <w:rPr>
          <w:kern w:val="0"/>
          <w:sz w:val="24"/>
          <w:lang w:val="zh-CN"/>
        </w:rPr>
        <w:t>”</w:t>
      </w:r>
      <w:r>
        <w:rPr>
          <w:rFonts w:hAnsi="宋体"/>
          <w:kern w:val="0"/>
          <w:sz w:val="24"/>
          <w:lang w:val="zh-CN"/>
        </w:rPr>
        <w:t>的原则，不能臆测。属于须由法定部门调查、侦查或先行作出相关认定的事项，质疑人应当依法申请具有法定职权的部门查清、认定，并将相关结果提供给采购人。采购人不具有法定调查、认定权限。</w:t>
      </w:r>
    </w:p>
    <w:p>
      <w:pPr>
        <w:snapToGrid w:val="0"/>
        <w:spacing w:line="420" w:lineRule="exact"/>
        <w:ind w:firstLine="480" w:firstLineChars="200"/>
        <w:contextualSpacing/>
        <w:rPr>
          <w:kern w:val="0"/>
          <w:sz w:val="24"/>
        </w:rPr>
      </w:pPr>
      <w:r>
        <w:rPr>
          <w:sz w:val="24"/>
        </w:rPr>
        <w:t>4</w:t>
      </w:r>
      <w:r>
        <w:rPr>
          <w:rFonts w:hAnsi="宋体"/>
          <w:sz w:val="24"/>
        </w:rPr>
        <w:t>、对本次招标有质疑的，实行实名制，不得进行虚假、恶意质疑。质疑人应在质疑有效期内以书面形式</w:t>
      </w:r>
      <w:r>
        <w:rPr>
          <w:rFonts w:hAnsi="宋体"/>
          <w:kern w:val="0"/>
          <w:sz w:val="24"/>
          <w:lang w:val="zh-CN"/>
        </w:rPr>
        <w:t>提出《质疑函》（格式请下载）</w:t>
      </w:r>
      <w:r>
        <w:rPr>
          <w:rFonts w:hAnsi="宋体"/>
          <w:sz w:val="24"/>
        </w:rPr>
        <w:t>，《质疑函》内容应</w:t>
      </w:r>
      <w:r>
        <w:rPr>
          <w:rFonts w:hAnsi="宋体"/>
          <w:kern w:val="0"/>
          <w:sz w:val="24"/>
          <w:lang w:val="zh-CN"/>
        </w:rPr>
        <w:t>包括</w:t>
      </w:r>
      <w:r>
        <w:rPr>
          <w:rFonts w:hAnsi="宋体"/>
          <w:sz w:val="24"/>
        </w:rPr>
        <w:t>质疑事项、主要内容、事实依据、适应法规条款、佐证材料等。同时，</w:t>
      </w:r>
      <w:r>
        <w:rPr>
          <w:rFonts w:hAnsi="宋体"/>
          <w:kern w:val="0"/>
          <w:sz w:val="24"/>
        </w:rPr>
        <w:t>质疑人应保证其提出的质疑内容及</w:t>
      </w:r>
      <w:r>
        <w:rPr>
          <w:rFonts w:hAnsi="宋体"/>
          <w:sz w:val="24"/>
        </w:rPr>
        <w:t>相关佐证材料</w:t>
      </w:r>
      <w:r>
        <w:rPr>
          <w:rFonts w:hAnsi="宋体"/>
          <w:kern w:val="0"/>
          <w:sz w:val="24"/>
        </w:rPr>
        <w:t>的真实性及来源的合法性，并承担相应的法律责任。</w:t>
      </w:r>
    </w:p>
    <w:p>
      <w:pPr>
        <w:snapToGrid w:val="0"/>
        <w:spacing w:line="420" w:lineRule="exact"/>
        <w:ind w:firstLine="480" w:firstLineChars="200"/>
        <w:contextualSpacing/>
        <w:rPr>
          <w:sz w:val="24"/>
        </w:rPr>
      </w:pPr>
      <w:r>
        <w:rPr>
          <w:rFonts w:hAnsi="宋体"/>
          <w:kern w:val="0"/>
          <w:sz w:val="24"/>
          <w:lang w:val="zh-CN"/>
        </w:rPr>
        <w:t>对不能提供</w:t>
      </w:r>
      <w:r>
        <w:rPr>
          <w:rFonts w:hAnsi="宋体"/>
          <w:sz w:val="24"/>
        </w:rPr>
        <w:t>相关佐证材料的、涉及商业秘密的、非书面形式的、非送达的、匿名的《质疑函》将不予受理。</w:t>
      </w:r>
    </w:p>
    <w:p>
      <w:pPr>
        <w:snapToGrid w:val="0"/>
        <w:spacing w:line="420" w:lineRule="exact"/>
        <w:ind w:firstLine="480" w:firstLineChars="200"/>
        <w:contextualSpacing/>
        <w:rPr>
          <w:sz w:val="24"/>
        </w:rPr>
      </w:pPr>
      <w:r>
        <w:rPr>
          <w:rFonts w:hAnsi="宋体"/>
          <w:sz w:val="24"/>
        </w:rPr>
        <w:t>相关佐证材料要具备客观性、关联性、合法性，无法查实的（如宣传册、媒体报道、猜测、推理等）不能作为佐证材料。</w:t>
      </w:r>
    </w:p>
    <w:p>
      <w:pPr>
        <w:snapToGrid w:val="0"/>
        <w:spacing w:line="420" w:lineRule="exact"/>
        <w:ind w:firstLine="482" w:firstLineChars="200"/>
        <w:contextualSpacing/>
        <w:rPr>
          <w:b/>
          <w:kern w:val="0"/>
          <w:sz w:val="24"/>
        </w:rPr>
      </w:pPr>
      <w:r>
        <w:rPr>
          <w:rFonts w:hAnsi="宋体"/>
          <w:b/>
          <w:sz w:val="24"/>
        </w:rPr>
        <w:t>采购人、</w:t>
      </w:r>
      <w:r>
        <w:rPr>
          <w:rFonts w:hint="eastAsia" w:hAnsi="宋体"/>
          <w:b/>
          <w:sz w:val="24"/>
        </w:rPr>
        <w:t>招标代理机构</w:t>
      </w:r>
      <w:r>
        <w:rPr>
          <w:rFonts w:hAnsi="宋体"/>
          <w:b/>
          <w:kern w:val="0"/>
          <w:sz w:val="24"/>
        </w:rPr>
        <w:t>不负责搜集相关佐证材料等工作。</w:t>
      </w:r>
    </w:p>
    <w:p>
      <w:pPr>
        <w:autoSpaceDE w:val="0"/>
        <w:autoSpaceDN w:val="0"/>
        <w:adjustRightInd w:val="0"/>
        <w:snapToGrid w:val="0"/>
        <w:spacing w:line="420" w:lineRule="exact"/>
        <w:ind w:firstLine="482" w:firstLineChars="200"/>
        <w:contextualSpacing/>
        <w:rPr>
          <w:b/>
          <w:sz w:val="24"/>
        </w:rPr>
      </w:pPr>
      <w:r>
        <w:rPr>
          <w:rFonts w:hAnsi="宋体"/>
          <w:b/>
          <w:sz w:val="24"/>
        </w:rPr>
        <w:t>二、《质疑函》的受理和回复</w:t>
      </w:r>
    </w:p>
    <w:p>
      <w:pPr>
        <w:autoSpaceDE w:val="0"/>
        <w:autoSpaceDN w:val="0"/>
        <w:adjustRightInd w:val="0"/>
        <w:snapToGrid w:val="0"/>
        <w:spacing w:line="420" w:lineRule="exact"/>
        <w:ind w:firstLine="480" w:firstLineChars="200"/>
        <w:contextualSpacing/>
        <w:rPr>
          <w:kern w:val="0"/>
          <w:sz w:val="24"/>
          <w:lang w:val="zh-CN"/>
        </w:rPr>
      </w:pPr>
      <w:r>
        <w:rPr>
          <w:sz w:val="24"/>
        </w:rPr>
        <w:t>1</w:t>
      </w:r>
      <w:r>
        <w:rPr>
          <w:rFonts w:hAnsi="宋体"/>
          <w:sz w:val="24"/>
        </w:rPr>
        <w:t>、《质疑函》须由质疑人的法定代表人或参加本次招标授权人</w:t>
      </w:r>
      <w:r>
        <w:rPr>
          <w:rFonts w:hAnsi="宋体"/>
          <w:kern w:val="0"/>
          <w:sz w:val="24"/>
          <w:lang w:val="zh-CN"/>
        </w:rPr>
        <w:t>送达</w:t>
      </w:r>
      <w:r>
        <w:rPr>
          <w:rFonts w:hint="eastAsia" w:hAnsi="宋体"/>
          <w:kern w:val="0"/>
          <w:sz w:val="24"/>
          <w:lang w:val="zh-CN"/>
        </w:rPr>
        <w:t>招标代理机构</w:t>
      </w:r>
      <w:r>
        <w:rPr>
          <w:rFonts w:hAnsi="宋体"/>
          <w:kern w:val="0"/>
          <w:sz w:val="24"/>
          <w:lang w:val="zh-CN"/>
        </w:rPr>
        <w:t>和采购人。</w:t>
      </w:r>
    </w:p>
    <w:p>
      <w:pPr>
        <w:autoSpaceDE w:val="0"/>
        <w:autoSpaceDN w:val="0"/>
        <w:adjustRightInd w:val="0"/>
        <w:snapToGrid w:val="0"/>
        <w:spacing w:line="420" w:lineRule="exact"/>
        <w:ind w:firstLine="480" w:firstLineChars="200"/>
        <w:contextualSpacing/>
        <w:rPr>
          <w:kern w:val="0"/>
          <w:sz w:val="24"/>
          <w:lang w:val="zh-CN"/>
        </w:rPr>
      </w:pPr>
      <w:r>
        <w:rPr>
          <w:kern w:val="0"/>
          <w:sz w:val="24"/>
          <w:lang w:val="zh-CN"/>
        </w:rPr>
        <w:t>2</w:t>
      </w:r>
      <w:r>
        <w:rPr>
          <w:rFonts w:hAnsi="宋体"/>
          <w:kern w:val="0"/>
          <w:sz w:val="24"/>
          <w:lang w:val="zh-CN"/>
        </w:rPr>
        <w:t>、对符合提出质疑要求的，</w:t>
      </w:r>
      <w:r>
        <w:rPr>
          <w:rFonts w:hint="eastAsia" w:hAnsi="宋体"/>
          <w:kern w:val="0"/>
          <w:sz w:val="24"/>
          <w:lang w:val="zh-CN"/>
        </w:rPr>
        <w:t>招标代理机构</w:t>
      </w:r>
      <w:r>
        <w:rPr>
          <w:rFonts w:hAnsi="宋体"/>
          <w:kern w:val="0"/>
          <w:sz w:val="24"/>
          <w:lang w:val="zh-CN"/>
        </w:rPr>
        <w:t>和采购人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adjustRightInd w:val="0"/>
        <w:snapToGrid w:val="0"/>
        <w:spacing w:line="420" w:lineRule="exact"/>
        <w:ind w:firstLine="480" w:firstLineChars="200"/>
        <w:contextualSpacing/>
        <w:rPr>
          <w:kern w:val="0"/>
          <w:sz w:val="24"/>
          <w:lang w:val="zh-CN"/>
        </w:rPr>
      </w:pPr>
      <w:r>
        <w:rPr>
          <w:kern w:val="0"/>
          <w:sz w:val="24"/>
          <w:lang w:val="zh-CN"/>
        </w:rPr>
        <w:t>3</w:t>
      </w:r>
      <w:r>
        <w:rPr>
          <w:rFonts w:hAnsi="宋体"/>
          <w:kern w:val="0"/>
          <w:sz w:val="24"/>
          <w:lang w:val="zh-CN"/>
        </w:rPr>
        <w:t>、对不符合提出质疑要求的，出具《质疑退回通知书》并提出相关补充材料要求，质疑人未在规定的时间内提供补充佐证材料的，视同放弃质疑。</w:t>
      </w:r>
    </w:p>
    <w:p>
      <w:pPr>
        <w:autoSpaceDE w:val="0"/>
        <w:autoSpaceDN w:val="0"/>
        <w:adjustRightInd w:val="0"/>
        <w:snapToGrid w:val="0"/>
        <w:spacing w:line="420" w:lineRule="exact"/>
        <w:ind w:firstLine="480" w:firstLineChars="200"/>
        <w:contextualSpacing/>
        <w:rPr>
          <w:kern w:val="0"/>
          <w:sz w:val="24"/>
        </w:rPr>
      </w:pPr>
      <w:r>
        <w:rPr>
          <w:kern w:val="0"/>
          <w:sz w:val="24"/>
          <w:lang w:val="zh-CN"/>
        </w:rPr>
        <w:t>4</w:t>
      </w:r>
      <w:r>
        <w:rPr>
          <w:rFonts w:hAnsi="宋体"/>
          <w:kern w:val="0"/>
          <w:sz w:val="24"/>
          <w:lang w:val="zh-CN"/>
        </w:rPr>
        <w:t>、</w:t>
      </w:r>
      <w:r>
        <w:rPr>
          <w:rFonts w:hint="eastAsia" w:hAnsi="宋体"/>
          <w:kern w:val="0"/>
          <w:sz w:val="24"/>
          <w:lang w:val="zh-CN"/>
        </w:rPr>
        <w:t>招标代理机构</w:t>
      </w:r>
      <w:r>
        <w:rPr>
          <w:rFonts w:hAnsi="宋体"/>
          <w:kern w:val="0"/>
          <w:sz w:val="24"/>
          <w:lang w:val="zh-CN"/>
        </w:rPr>
        <w:t>、</w:t>
      </w:r>
      <w:r>
        <w:rPr>
          <w:rFonts w:hAnsi="宋体"/>
          <w:kern w:val="0"/>
          <w:sz w:val="24"/>
        </w:rPr>
        <w:t>采购人负责将质疑人提出的质疑相关材料提供给相关专家或评委审核，并将审核意见回复质疑人。</w:t>
      </w:r>
    </w:p>
    <w:p>
      <w:pPr>
        <w:widowControl/>
        <w:tabs>
          <w:tab w:val="left" w:pos="0"/>
        </w:tabs>
        <w:snapToGrid w:val="0"/>
        <w:spacing w:line="420" w:lineRule="exact"/>
        <w:ind w:firstLine="480" w:firstLineChars="200"/>
        <w:contextualSpacing/>
        <w:rPr>
          <w:kern w:val="0"/>
          <w:sz w:val="24"/>
        </w:rPr>
      </w:pPr>
      <w:r>
        <w:rPr>
          <w:rFonts w:hAnsi="宋体"/>
          <w:sz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autoSpaceDE w:val="0"/>
        <w:autoSpaceDN w:val="0"/>
        <w:adjustRightInd w:val="0"/>
        <w:snapToGrid w:val="0"/>
        <w:spacing w:line="420" w:lineRule="exact"/>
        <w:ind w:firstLine="480" w:firstLineChars="200"/>
        <w:contextualSpacing/>
        <w:rPr>
          <w:kern w:val="0"/>
          <w:sz w:val="24"/>
          <w:lang w:val="zh-CN"/>
        </w:rPr>
      </w:pPr>
      <w:r>
        <w:rPr>
          <w:kern w:val="0"/>
          <w:sz w:val="24"/>
        </w:rPr>
        <w:t>5</w:t>
      </w:r>
      <w:r>
        <w:rPr>
          <w:rFonts w:hAnsi="宋体"/>
          <w:kern w:val="0"/>
          <w:sz w:val="24"/>
        </w:rPr>
        <w:t>、</w:t>
      </w:r>
      <w:r>
        <w:rPr>
          <w:rFonts w:hAnsi="宋体"/>
          <w:kern w:val="0"/>
          <w:sz w:val="24"/>
          <w:lang w:val="zh-CN"/>
        </w:rPr>
        <w:t>因质疑情况复杂，组织论证或审查时间较长的，</w:t>
      </w:r>
      <w:r>
        <w:rPr>
          <w:rFonts w:hint="eastAsia" w:hAnsi="宋体"/>
          <w:kern w:val="0"/>
          <w:sz w:val="24"/>
          <w:lang w:val="zh-CN"/>
        </w:rPr>
        <w:t>招标代理机构</w:t>
      </w:r>
      <w:r>
        <w:rPr>
          <w:rFonts w:hAnsi="宋体"/>
          <w:kern w:val="0"/>
          <w:sz w:val="24"/>
          <w:lang w:val="zh-CN"/>
        </w:rPr>
        <w:t>、采购人以书面形式通知质疑人，可适当延长质疑回复处理时间。</w:t>
      </w:r>
    </w:p>
    <w:p>
      <w:pPr>
        <w:autoSpaceDE w:val="0"/>
        <w:autoSpaceDN w:val="0"/>
        <w:adjustRightInd w:val="0"/>
        <w:snapToGrid w:val="0"/>
        <w:spacing w:line="420" w:lineRule="exact"/>
        <w:ind w:firstLine="482" w:firstLineChars="200"/>
        <w:contextualSpacing/>
        <w:rPr>
          <w:b/>
          <w:kern w:val="0"/>
          <w:sz w:val="24"/>
          <w:lang w:val="zh-CN"/>
        </w:rPr>
      </w:pPr>
      <w:r>
        <w:rPr>
          <w:rFonts w:hAnsi="宋体"/>
          <w:b/>
          <w:kern w:val="0"/>
          <w:sz w:val="24"/>
          <w:lang w:val="zh-CN"/>
        </w:rPr>
        <w:t>三、质疑处理</w:t>
      </w:r>
    </w:p>
    <w:p>
      <w:pPr>
        <w:autoSpaceDE w:val="0"/>
        <w:autoSpaceDN w:val="0"/>
        <w:adjustRightInd w:val="0"/>
        <w:snapToGrid w:val="0"/>
        <w:spacing w:line="420" w:lineRule="exact"/>
        <w:ind w:firstLine="482" w:firstLineChars="200"/>
        <w:contextualSpacing/>
        <w:rPr>
          <w:kern w:val="0"/>
          <w:sz w:val="24"/>
          <w:lang w:val="zh-CN"/>
        </w:rPr>
      </w:pPr>
      <w:r>
        <w:rPr>
          <w:b/>
          <w:kern w:val="0"/>
          <w:sz w:val="24"/>
          <w:lang w:val="zh-CN"/>
        </w:rPr>
        <w:t>1</w:t>
      </w:r>
      <w:r>
        <w:rPr>
          <w:rFonts w:hAnsi="宋体"/>
          <w:b/>
          <w:kern w:val="0"/>
          <w:sz w:val="24"/>
          <w:lang w:val="zh-CN"/>
        </w:rPr>
        <w:t>、质疑成立的处理。</w:t>
      </w:r>
      <w:r>
        <w:rPr>
          <w:rFonts w:hAnsi="宋体"/>
          <w:kern w:val="0"/>
          <w:sz w:val="24"/>
          <w:lang w:val="zh-CN"/>
        </w:rPr>
        <w:t>采购人终止采购，并建议有关部门给相关当事人予以处理。</w:t>
      </w:r>
    </w:p>
    <w:p>
      <w:pPr>
        <w:snapToGrid w:val="0"/>
        <w:spacing w:line="420" w:lineRule="exact"/>
        <w:ind w:firstLine="472" w:firstLineChars="196"/>
        <w:contextualSpacing/>
        <w:rPr>
          <w:b/>
          <w:kern w:val="0"/>
          <w:sz w:val="24"/>
          <w:lang w:val="zh-CN"/>
        </w:rPr>
      </w:pPr>
      <w:r>
        <w:rPr>
          <w:b/>
          <w:kern w:val="0"/>
          <w:sz w:val="24"/>
          <w:lang w:val="zh-CN"/>
        </w:rPr>
        <w:t>2</w:t>
      </w:r>
      <w:r>
        <w:rPr>
          <w:rFonts w:hAnsi="宋体"/>
          <w:b/>
          <w:kern w:val="0"/>
          <w:sz w:val="24"/>
          <w:lang w:val="zh-CN"/>
        </w:rPr>
        <w:t>、质疑不成立的处理。</w:t>
      </w:r>
    </w:p>
    <w:p>
      <w:pPr>
        <w:snapToGrid w:val="0"/>
        <w:spacing w:line="420" w:lineRule="exact"/>
        <w:ind w:firstLine="480" w:firstLineChars="200"/>
        <w:contextualSpacing/>
        <w:rPr>
          <w:sz w:val="24"/>
        </w:rPr>
      </w:pPr>
      <w:r>
        <w:rPr>
          <w:sz w:val="24"/>
        </w:rPr>
        <w:t>1）质疑人书面《申请撤回质疑函》的，不作违约处理。</w:t>
      </w:r>
    </w:p>
    <w:p>
      <w:pPr>
        <w:snapToGrid w:val="0"/>
        <w:spacing w:line="420" w:lineRule="exact"/>
        <w:ind w:firstLine="480" w:firstLineChars="200"/>
        <w:contextualSpacing/>
        <w:rPr>
          <w:kern w:val="0"/>
          <w:sz w:val="24"/>
          <w:lang w:val="zh-CN"/>
        </w:rPr>
      </w:pPr>
      <w:r>
        <w:rPr>
          <w:sz w:val="24"/>
        </w:rPr>
        <w:t>2</w:t>
      </w:r>
      <w:r>
        <w:rPr>
          <w:rFonts w:hAnsi="宋体"/>
          <w:sz w:val="24"/>
        </w:rPr>
        <w:t>）质疑人在规定的时间内不配合进行质疑调查处理的，按自动撤回《质疑函》处理。</w:t>
      </w:r>
    </w:p>
    <w:p>
      <w:pPr>
        <w:snapToGrid w:val="0"/>
        <w:spacing w:line="420" w:lineRule="exact"/>
        <w:ind w:firstLine="480" w:firstLineChars="200"/>
        <w:contextualSpacing/>
        <w:rPr>
          <w:kern w:val="0"/>
          <w:sz w:val="24"/>
          <w:lang w:val="zh-CN"/>
        </w:rPr>
      </w:pPr>
      <w:r>
        <w:rPr>
          <w:kern w:val="0"/>
          <w:sz w:val="24"/>
          <w:lang w:val="zh-CN"/>
        </w:rPr>
        <w:t>3</w:t>
      </w:r>
      <w:r>
        <w:rPr>
          <w:rFonts w:hAnsi="宋体"/>
          <w:kern w:val="0"/>
          <w:sz w:val="24"/>
          <w:lang w:val="zh-CN"/>
        </w:rPr>
        <w:t>）质疑人不按《质疑函》格式就提出质疑的，作违约处理。</w:t>
      </w:r>
      <w:r>
        <w:rPr>
          <w:rFonts w:hAnsi="宋体"/>
          <w:sz w:val="24"/>
        </w:rPr>
        <w:t>采购人有权收取其保证金的</w:t>
      </w:r>
      <w:r>
        <w:rPr>
          <w:sz w:val="24"/>
        </w:rPr>
        <w:t>10%</w:t>
      </w:r>
      <w:r>
        <w:rPr>
          <w:rFonts w:hAnsi="宋体"/>
          <w:sz w:val="24"/>
        </w:rPr>
        <w:t>作为违约金；同时，视情</w:t>
      </w:r>
      <w:r>
        <w:rPr>
          <w:rFonts w:hAnsi="宋体"/>
          <w:kern w:val="0"/>
          <w:sz w:val="24"/>
          <w:lang w:val="zh-CN"/>
        </w:rPr>
        <w:t>列入不良供应商名单。</w:t>
      </w:r>
    </w:p>
    <w:p>
      <w:pPr>
        <w:snapToGrid w:val="0"/>
        <w:spacing w:line="420" w:lineRule="exact"/>
        <w:ind w:firstLine="460" w:firstLineChars="192"/>
        <w:contextualSpacing/>
        <w:rPr>
          <w:kern w:val="0"/>
          <w:sz w:val="24"/>
          <w:lang w:val="zh-CN"/>
        </w:rPr>
      </w:pPr>
      <w:r>
        <w:rPr>
          <w:kern w:val="0"/>
          <w:sz w:val="24"/>
          <w:lang w:val="zh-CN"/>
        </w:rPr>
        <w:t>4</w:t>
      </w:r>
      <w:r>
        <w:rPr>
          <w:rFonts w:hAnsi="宋体"/>
          <w:kern w:val="0"/>
          <w:sz w:val="24"/>
          <w:lang w:val="zh-CN"/>
        </w:rPr>
        <w:t>）质疑人虽提供了相关</w:t>
      </w:r>
      <w:r>
        <w:rPr>
          <w:rFonts w:hAnsi="宋体"/>
          <w:sz w:val="24"/>
        </w:rPr>
        <w:t>佐证材料</w:t>
      </w:r>
      <w:r>
        <w:rPr>
          <w:rFonts w:hAnsi="宋体"/>
          <w:kern w:val="0"/>
          <w:sz w:val="24"/>
          <w:lang w:val="zh-CN"/>
        </w:rPr>
        <w:t>，但不能证明其质疑成立的，采购人请质疑人补充相关</w:t>
      </w:r>
      <w:r>
        <w:rPr>
          <w:rFonts w:hAnsi="宋体"/>
          <w:sz w:val="24"/>
        </w:rPr>
        <w:t>佐证材料</w:t>
      </w:r>
      <w:r>
        <w:rPr>
          <w:rFonts w:hAnsi="宋体"/>
          <w:kern w:val="0"/>
          <w:sz w:val="24"/>
          <w:lang w:val="zh-CN"/>
        </w:rPr>
        <w:t>，仍不能证明其质疑成立的，作违约处理。</w:t>
      </w:r>
      <w:r>
        <w:rPr>
          <w:rFonts w:hAnsi="宋体"/>
          <w:sz w:val="24"/>
        </w:rPr>
        <w:t>采购人有权收取其保证金的</w:t>
      </w:r>
      <w:r>
        <w:rPr>
          <w:sz w:val="24"/>
        </w:rPr>
        <w:t>50%</w:t>
      </w:r>
      <w:r>
        <w:rPr>
          <w:rFonts w:hAnsi="宋体"/>
          <w:sz w:val="24"/>
        </w:rPr>
        <w:t>作为违约金；同时，</w:t>
      </w:r>
      <w:r>
        <w:rPr>
          <w:rFonts w:hAnsi="宋体"/>
          <w:kern w:val="0"/>
          <w:sz w:val="24"/>
          <w:lang w:val="zh-CN"/>
        </w:rPr>
        <w:t>列入不良供应商名单。</w:t>
      </w:r>
    </w:p>
    <w:p>
      <w:pPr>
        <w:snapToGrid w:val="0"/>
        <w:spacing w:line="420" w:lineRule="exact"/>
        <w:ind w:firstLine="460" w:firstLineChars="192"/>
        <w:contextualSpacing/>
        <w:rPr>
          <w:kern w:val="0"/>
          <w:sz w:val="24"/>
          <w:lang w:val="zh-CN"/>
        </w:rPr>
      </w:pPr>
      <w:r>
        <w:rPr>
          <w:kern w:val="0"/>
          <w:sz w:val="24"/>
          <w:lang w:val="zh-CN"/>
        </w:rPr>
        <w:t>5</w:t>
      </w:r>
      <w:r>
        <w:rPr>
          <w:rFonts w:hAnsi="宋体"/>
          <w:kern w:val="0"/>
          <w:sz w:val="24"/>
          <w:lang w:val="zh-CN"/>
        </w:rPr>
        <w:t>）质疑人不能提供相关</w:t>
      </w:r>
      <w:r>
        <w:rPr>
          <w:rFonts w:hAnsi="宋体"/>
          <w:sz w:val="24"/>
        </w:rPr>
        <w:t>佐证材料</w:t>
      </w:r>
      <w:r>
        <w:rPr>
          <w:rFonts w:hAnsi="宋体"/>
          <w:kern w:val="0"/>
          <w:sz w:val="24"/>
          <w:lang w:val="zh-CN"/>
        </w:rPr>
        <w:t>的，采购人已指出，质疑人仍然坚持提出质疑的，作违约处理。</w:t>
      </w:r>
      <w:r>
        <w:rPr>
          <w:rFonts w:hAnsi="宋体"/>
          <w:sz w:val="24"/>
        </w:rPr>
        <w:t>采购人有权收取其保证金的</w:t>
      </w:r>
      <w:r>
        <w:rPr>
          <w:sz w:val="24"/>
        </w:rPr>
        <w:t>100%</w:t>
      </w:r>
      <w:r>
        <w:rPr>
          <w:rFonts w:hAnsi="宋体"/>
          <w:sz w:val="24"/>
        </w:rPr>
        <w:t>作为违约金；取消相应会员资格</w:t>
      </w:r>
      <w:r>
        <w:rPr>
          <w:sz w:val="24"/>
        </w:rPr>
        <w:t>6</w:t>
      </w:r>
      <w:r>
        <w:rPr>
          <w:rFonts w:hAnsi="宋体"/>
          <w:sz w:val="24"/>
        </w:rPr>
        <w:t>个月，同时，</w:t>
      </w:r>
      <w:r>
        <w:rPr>
          <w:rFonts w:hAnsi="宋体"/>
          <w:kern w:val="0"/>
          <w:sz w:val="24"/>
          <w:lang w:val="zh-CN"/>
        </w:rPr>
        <w:t>列入不良供应商名单。</w:t>
      </w:r>
    </w:p>
    <w:p>
      <w:pPr>
        <w:snapToGrid w:val="0"/>
        <w:spacing w:line="420" w:lineRule="exact"/>
        <w:ind w:firstLine="460" w:firstLineChars="192"/>
        <w:contextualSpacing/>
        <w:rPr>
          <w:kern w:val="0"/>
          <w:sz w:val="24"/>
          <w:lang w:val="zh-CN"/>
        </w:rPr>
      </w:pPr>
      <w:r>
        <w:rPr>
          <w:kern w:val="0"/>
          <w:sz w:val="24"/>
          <w:lang w:val="zh-CN"/>
        </w:rPr>
        <w:t>6</w:t>
      </w:r>
      <w:r>
        <w:rPr>
          <w:rFonts w:hAnsi="宋体"/>
          <w:kern w:val="0"/>
          <w:sz w:val="24"/>
          <w:lang w:val="zh-CN"/>
        </w:rPr>
        <w:t>）对明显有违背事实的、经相关专家或评委认定无依据的、经其他投标人举证无依据的质疑，作违约处理，</w:t>
      </w:r>
      <w:r>
        <w:rPr>
          <w:rFonts w:hAnsi="宋体"/>
          <w:sz w:val="24"/>
        </w:rPr>
        <w:t>采购人有权取消其会员资格，收取其保证金的</w:t>
      </w:r>
      <w:r>
        <w:rPr>
          <w:sz w:val="24"/>
        </w:rPr>
        <w:t>100%</w:t>
      </w:r>
      <w:r>
        <w:rPr>
          <w:rFonts w:hAnsi="宋体"/>
          <w:sz w:val="24"/>
        </w:rPr>
        <w:t>作为违约金，</w:t>
      </w:r>
      <w:r>
        <w:rPr>
          <w:rFonts w:hAnsi="宋体"/>
          <w:kern w:val="0"/>
          <w:sz w:val="24"/>
          <w:lang w:val="zh-CN"/>
        </w:rPr>
        <w:t>列入不良供应商名单；</w:t>
      </w:r>
      <w:r>
        <w:rPr>
          <w:rFonts w:hAnsi="宋体"/>
          <w:sz w:val="24"/>
        </w:rPr>
        <w:t>同时，</w:t>
      </w:r>
      <w:r>
        <w:rPr>
          <w:rFonts w:hAnsi="宋体"/>
          <w:kern w:val="0"/>
          <w:sz w:val="24"/>
          <w:lang w:val="zh-CN"/>
        </w:rPr>
        <w:t>对其中每一项不成立的质疑给予质疑人</w:t>
      </w:r>
      <w:r>
        <w:rPr>
          <w:kern w:val="0"/>
          <w:sz w:val="24"/>
          <w:lang w:val="zh-CN"/>
        </w:rPr>
        <w:t>1</w:t>
      </w:r>
      <w:r>
        <w:rPr>
          <w:rFonts w:hAnsi="宋体"/>
          <w:kern w:val="0"/>
          <w:sz w:val="24"/>
          <w:lang w:val="zh-CN"/>
        </w:rPr>
        <w:t>年内禁入由采购人组织的政府采购活动的违约处理，依次类推；视情在南通市公共资源交易网、省、国家级相关媒体予以披露。</w:t>
      </w:r>
    </w:p>
    <w:p>
      <w:pPr>
        <w:snapToGrid w:val="0"/>
        <w:spacing w:line="420" w:lineRule="exact"/>
        <w:ind w:firstLine="460" w:firstLineChars="192"/>
        <w:contextualSpacing/>
        <w:rPr>
          <w:rFonts w:hAnsi="宋体"/>
          <w:kern w:val="0"/>
          <w:sz w:val="24"/>
          <w:lang w:val="zh-CN"/>
        </w:rPr>
      </w:pPr>
      <w:r>
        <w:rPr>
          <w:kern w:val="0"/>
          <w:sz w:val="24"/>
          <w:lang w:val="zh-CN"/>
        </w:rPr>
        <w:t>7</w:t>
      </w:r>
      <w:r>
        <w:rPr>
          <w:rFonts w:hAnsi="宋体"/>
          <w:kern w:val="0"/>
          <w:sz w:val="24"/>
          <w:lang w:val="zh-CN"/>
        </w:rPr>
        <w:t>）</w:t>
      </w:r>
      <w:r>
        <w:rPr>
          <w:rFonts w:hAnsi="宋体"/>
          <w:sz w:val="24"/>
        </w:rPr>
        <w:t>质疑人</w:t>
      </w:r>
      <w:r>
        <w:rPr>
          <w:rFonts w:hAnsi="宋体"/>
          <w:kern w:val="0"/>
          <w:sz w:val="24"/>
          <w:lang w:val="zh-CN"/>
        </w:rPr>
        <w:t>承担使用虚假材料或恶意方式质疑的法律责任。</w:t>
      </w:r>
    </w:p>
    <w:p>
      <w:pPr>
        <w:snapToGrid w:val="0"/>
        <w:spacing w:line="420" w:lineRule="exact"/>
        <w:ind w:firstLine="463" w:firstLineChars="192"/>
        <w:contextualSpacing/>
        <w:rPr>
          <w:rFonts w:hAnsi="宋体"/>
          <w:sz w:val="24"/>
        </w:rPr>
      </w:pPr>
      <w:r>
        <w:rPr>
          <w:rFonts w:hAnsi="宋体"/>
          <w:b/>
          <w:kern w:val="0"/>
          <w:sz w:val="24"/>
          <w:lang w:val="zh-CN"/>
        </w:rPr>
        <w:t>四、无佐证材料的举报作违约处理。</w:t>
      </w:r>
      <w:r>
        <w:rPr>
          <w:rFonts w:hAnsi="宋体"/>
          <w:kern w:val="0"/>
          <w:sz w:val="24"/>
          <w:lang w:val="zh-CN"/>
        </w:rPr>
        <w:t>供应商不得进行不提供相关佐证材料（含无法查实的</w:t>
      </w:r>
      <w:r>
        <w:rPr>
          <w:rFonts w:hAnsi="宋体"/>
          <w:sz w:val="24"/>
        </w:rPr>
        <w:t>如宣传册、媒体报道、猜测、推理等）</w:t>
      </w:r>
      <w:r>
        <w:rPr>
          <w:rFonts w:hAnsi="宋体"/>
          <w:kern w:val="0"/>
          <w:sz w:val="24"/>
          <w:lang w:val="zh-CN"/>
        </w:rPr>
        <w:t>向有关部门的举报，否则作违</w:t>
      </w:r>
      <w:r>
        <w:rPr>
          <w:rFonts w:hAnsi="宋体"/>
          <w:sz w:val="24"/>
        </w:rPr>
        <w:t>约处理</w:t>
      </w:r>
      <w:r>
        <w:rPr>
          <w:rFonts w:hint="eastAsia" w:hAnsi="宋体"/>
          <w:sz w:val="24"/>
        </w:rPr>
        <w:t>，并</w:t>
      </w:r>
      <w:r>
        <w:rPr>
          <w:rFonts w:hAnsi="宋体"/>
          <w:sz w:val="24"/>
        </w:rPr>
        <w:t>在1至3年内</w:t>
      </w:r>
      <w:r>
        <w:rPr>
          <w:rFonts w:hint="eastAsia" w:hAnsi="宋体"/>
          <w:sz w:val="24"/>
        </w:rPr>
        <w:t>禁止其参加</w:t>
      </w:r>
      <w:r>
        <w:rPr>
          <w:rFonts w:hAnsi="宋体"/>
          <w:sz w:val="24"/>
        </w:rPr>
        <w:t>由</w:t>
      </w:r>
      <w:r>
        <w:rPr>
          <w:rFonts w:hint="eastAsia" w:hAnsi="宋体"/>
          <w:sz w:val="24"/>
        </w:rPr>
        <w:t>南通市中央创新区建设投资有限公司及下属单位</w:t>
      </w:r>
      <w:r>
        <w:rPr>
          <w:rFonts w:hAnsi="宋体"/>
          <w:sz w:val="24"/>
        </w:rPr>
        <w:t>组织的采购活动。</w:t>
      </w:r>
    </w:p>
    <w:p>
      <w:pPr>
        <w:snapToGrid w:val="0"/>
        <w:spacing w:line="420" w:lineRule="exact"/>
        <w:ind w:firstLine="482" w:firstLineChars="200"/>
        <w:contextualSpacing/>
        <w:rPr>
          <w:rFonts w:hAnsi="宋体"/>
          <w:sz w:val="24"/>
        </w:rPr>
      </w:pPr>
      <w:r>
        <w:rPr>
          <w:rFonts w:hAnsi="宋体"/>
          <w:b/>
          <w:sz w:val="24"/>
        </w:rPr>
        <w:t>五、投诉不成立的作违约处理。</w:t>
      </w:r>
      <w:r>
        <w:rPr>
          <w:rFonts w:hAnsi="宋体"/>
          <w:sz w:val="24"/>
        </w:rPr>
        <w:t>供应商进行质疑后，采购人回复质疑不成立，供应商仍进行投诉的，并最终投诉不成立的，作违约处理</w:t>
      </w:r>
      <w:r>
        <w:rPr>
          <w:rFonts w:hint="eastAsia" w:hAnsi="宋体"/>
          <w:sz w:val="24"/>
        </w:rPr>
        <w:t>，并</w:t>
      </w:r>
      <w:r>
        <w:rPr>
          <w:rFonts w:hAnsi="宋体"/>
          <w:sz w:val="24"/>
        </w:rPr>
        <w:t>在1至3年内</w:t>
      </w:r>
      <w:r>
        <w:rPr>
          <w:rFonts w:hint="eastAsia" w:hAnsi="宋体"/>
          <w:sz w:val="24"/>
        </w:rPr>
        <w:t>禁止其参加</w:t>
      </w:r>
      <w:r>
        <w:rPr>
          <w:rFonts w:hAnsi="宋体"/>
          <w:sz w:val="24"/>
        </w:rPr>
        <w:t>由</w:t>
      </w:r>
      <w:r>
        <w:rPr>
          <w:rFonts w:hint="eastAsia" w:hAnsi="宋体"/>
          <w:sz w:val="24"/>
        </w:rPr>
        <w:t>南通市中央创新区建设投资有限公司及下属单位</w:t>
      </w:r>
      <w:r>
        <w:rPr>
          <w:rFonts w:hAnsi="宋体"/>
          <w:sz w:val="24"/>
        </w:rPr>
        <w:t>组织的采购活动。</w:t>
      </w:r>
    </w:p>
    <w:p>
      <w:pPr>
        <w:snapToGrid w:val="0"/>
        <w:spacing w:line="420" w:lineRule="exact"/>
        <w:ind w:firstLine="570"/>
        <w:contextualSpacing/>
        <w:rPr>
          <w:rFonts w:hAnsi="宋体"/>
          <w:sz w:val="24"/>
        </w:rPr>
      </w:pPr>
      <w:r>
        <w:rPr>
          <w:rFonts w:hAnsi="宋体"/>
          <w:b/>
          <w:sz w:val="24"/>
        </w:rPr>
        <w:t>六、《质疑函》、《质疑回复函》，质疑、举报、投诉不成立的</w:t>
      </w:r>
      <w:r>
        <w:rPr>
          <w:rFonts w:hAnsi="宋体"/>
          <w:sz w:val="24"/>
        </w:rPr>
        <w:t>等相关情况，视情在南通市公共资源交易网、省、国家级等相关媒体予以披露。并建议相关政府采购机构对该供应商同步实施</w:t>
      </w:r>
      <w:r>
        <w:rPr>
          <w:sz w:val="24"/>
        </w:rPr>
        <w:t>1</w:t>
      </w:r>
      <w:r>
        <w:rPr>
          <w:rFonts w:hAnsi="宋体"/>
          <w:sz w:val="24"/>
        </w:rPr>
        <w:t>至</w:t>
      </w:r>
      <w:r>
        <w:rPr>
          <w:sz w:val="24"/>
        </w:rPr>
        <w:t>3</w:t>
      </w:r>
      <w:r>
        <w:rPr>
          <w:rFonts w:hAnsi="宋体"/>
          <w:sz w:val="24"/>
        </w:rPr>
        <w:t>年内禁入。</w:t>
      </w:r>
    </w:p>
    <w:p>
      <w:pPr>
        <w:snapToGrid w:val="0"/>
        <w:spacing w:line="420" w:lineRule="exact"/>
        <w:ind w:firstLine="570"/>
        <w:contextualSpacing/>
        <w:rPr>
          <w:rFonts w:hAnsi="宋体"/>
          <w:sz w:val="24"/>
        </w:rPr>
      </w:pPr>
    </w:p>
    <w:p>
      <w:pPr>
        <w:snapToGrid w:val="0"/>
        <w:spacing w:line="420" w:lineRule="exact"/>
        <w:ind w:firstLine="570"/>
        <w:contextualSpacing/>
        <w:rPr>
          <w:sz w:val="24"/>
        </w:rPr>
      </w:pPr>
    </w:p>
    <w:p>
      <w:pPr>
        <w:snapToGrid w:val="0"/>
        <w:spacing w:line="420" w:lineRule="exact"/>
        <w:outlineLvl w:val="0"/>
        <w:rPr>
          <w:rFonts w:ascii="仿宋_GB2312" w:hAnsi="宋体" w:eastAsia="仿宋_GB2312"/>
          <w:b/>
          <w:sz w:val="36"/>
          <w:szCs w:val="36"/>
        </w:rPr>
      </w:pPr>
    </w:p>
    <w:p>
      <w:pPr>
        <w:snapToGrid w:val="0"/>
        <w:spacing w:line="420" w:lineRule="exact"/>
        <w:jc w:val="center"/>
        <w:outlineLvl w:val="0"/>
        <w:rPr>
          <w:rFonts w:ascii="仿宋_GB2312" w:hAnsi="宋体" w:eastAsia="仿宋_GB2312"/>
          <w:b/>
          <w:sz w:val="36"/>
          <w:szCs w:val="36"/>
        </w:rPr>
      </w:pPr>
      <w:r>
        <w:rPr>
          <w:rFonts w:hint="eastAsia" w:ascii="仿宋_GB2312" w:hAnsi="宋体" w:eastAsia="仿宋_GB2312"/>
          <w:b/>
          <w:sz w:val="36"/>
          <w:szCs w:val="36"/>
        </w:rPr>
        <w:t>第七部分  投标文件组成</w:t>
      </w:r>
    </w:p>
    <w:p>
      <w:pPr>
        <w:snapToGrid w:val="0"/>
        <w:spacing w:line="420" w:lineRule="exact"/>
        <w:jc w:val="center"/>
        <w:outlineLvl w:val="0"/>
        <w:rPr>
          <w:rFonts w:ascii="仿宋_GB2312" w:hAnsi="宋体" w:eastAsia="仿宋_GB2312"/>
          <w:b/>
          <w:sz w:val="36"/>
          <w:szCs w:val="36"/>
        </w:rPr>
      </w:pPr>
    </w:p>
    <w:p>
      <w:pPr>
        <w:snapToGrid w:val="0"/>
        <w:spacing w:line="420" w:lineRule="exact"/>
        <w:ind w:firstLine="555"/>
        <w:jc w:val="left"/>
        <w:rPr>
          <w:b/>
          <w:sz w:val="24"/>
        </w:rPr>
      </w:pPr>
      <w:r>
        <w:rPr>
          <w:rFonts w:hAnsi="宋体"/>
          <w:b/>
          <w:sz w:val="24"/>
        </w:rPr>
        <w:t>投标文件由资格审查证明材料、报价标</w:t>
      </w:r>
      <w:r>
        <w:rPr>
          <w:rFonts w:hint="eastAsia" w:hAnsi="宋体"/>
          <w:b/>
          <w:sz w:val="24"/>
        </w:rPr>
        <w:t>、</w:t>
      </w:r>
      <w:r>
        <w:rPr>
          <w:rFonts w:hAnsi="宋体"/>
          <w:b/>
          <w:sz w:val="24"/>
        </w:rPr>
        <w:t>商务技术标</w:t>
      </w:r>
      <w:r>
        <w:rPr>
          <w:rFonts w:hint="eastAsia" w:hAnsi="宋体"/>
          <w:b/>
          <w:sz w:val="24"/>
        </w:rPr>
        <w:t>三</w:t>
      </w:r>
      <w:r>
        <w:rPr>
          <w:rFonts w:hAnsi="宋体"/>
          <w:b/>
          <w:sz w:val="24"/>
        </w:rPr>
        <w:t>部分组成。</w:t>
      </w:r>
    </w:p>
    <w:p>
      <w:pPr>
        <w:pStyle w:val="45"/>
        <w:snapToGrid w:val="0"/>
        <w:spacing w:line="420" w:lineRule="exact"/>
        <w:ind w:left="549"/>
        <w:contextualSpacing/>
        <w:rPr>
          <w:rFonts w:ascii="Times New Roman" w:cs="Times New Roman"/>
          <w:b/>
        </w:rPr>
      </w:pPr>
      <w:r>
        <w:rPr>
          <w:rFonts w:ascii="Times New Roman" w:cs="Times New Roman"/>
          <w:b/>
        </w:rPr>
        <w:t>一、资格审查证明材料(正本一份、副本</w:t>
      </w:r>
      <w:r>
        <w:rPr>
          <w:rFonts w:hint="eastAsia" w:ascii="Times New Roman" w:cs="Times New Roman"/>
          <w:b/>
        </w:rPr>
        <w:t>二</w:t>
      </w:r>
      <w:r>
        <w:rPr>
          <w:rFonts w:ascii="Times New Roman" w:cs="Times New Roman"/>
          <w:b/>
        </w:rPr>
        <w:t>份，单独密封)：</w:t>
      </w:r>
    </w:p>
    <w:p>
      <w:pPr>
        <w:pStyle w:val="45"/>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、关于资格的声明函；</w:t>
      </w:r>
    </w:p>
    <w:p>
      <w:pPr>
        <w:pStyle w:val="45"/>
        <w:snapToGrid w:val="0"/>
        <w:spacing w:line="420" w:lineRule="exact"/>
        <w:ind w:left="549"/>
        <w:contextualSpacing/>
        <w:rPr>
          <w:rFonts w:ascii="Times New Roman" w:hAnsi="Times New Roman" w:cs="Times New Roman"/>
        </w:rPr>
      </w:pPr>
      <w:r>
        <w:rPr>
          <w:rFonts w:ascii="Times New Roman" w:hAnsi="Times New Roman" w:cs="Times New Roman"/>
        </w:rPr>
        <w:t>2</w:t>
      </w:r>
      <w:r>
        <w:rPr>
          <w:rFonts w:ascii="Times New Roman" w:cs="Times New Roman"/>
        </w:rPr>
        <w:t>、法定代表人身份证明书（提供复印件并加盖公章）</w:t>
      </w:r>
      <w:r>
        <w:rPr>
          <w:rFonts w:hint="eastAsia" w:ascii="Times New Roman" w:hAnsi="Times New Roman" w:cs="Times New Roman"/>
        </w:rPr>
        <w:t>；</w:t>
      </w:r>
    </w:p>
    <w:p>
      <w:pPr>
        <w:pStyle w:val="45"/>
        <w:snapToGrid w:val="0"/>
        <w:spacing w:line="420" w:lineRule="exact"/>
        <w:ind w:left="549"/>
        <w:contextualSpacing/>
        <w:rPr>
          <w:rFonts w:ascii="Times New Roman" w:hAnsi="Times New Roman" w:cs="Times New Roman"/>
          <w:lang w:val="zh-CN"/>
        </w:rPr>
      </w:pPr>
      <w:r>
        <w:rPr>
          <w:rFonts w:ascii="Times New Roman" w:hAnsi="Times New Roman" w:cs="Times New Roman"/>
          <w:lang w:val="zh-CN"/>
        </w:rPr>
        <w:t>3</w:t>
      </w:r>
      <w:r>
        <w:rPr>
          <w:rFonts w:ascii="Times New Roman" w:cs="Times New Roman"/>
          <w:lang w:val="zh-CN"/>
        </w:rPr>
        <w:t>、法定代表人授权委托书原件，投标代表本人身份证复印件（原件随身备查）</w:t>
      </w:r>
      <w:r>
        <w:rPr>
          <w:rFonts w:hint="eastAsia" w:ascii="Times New Roman" w:cs="Times New Roman"/>
          <w:lang w:val="zh-CN"/>
        </w:rPr>
        <w:t>；</w:t>
      </w:r>
    </w:p>
    <w:p>
      <w:pPr>
        <w:pStyle w:val="45"/>
        <w:snapToGrid w:val="0"/>
        <w:spacing w:line="420" w:lineRule="exact"/>
        <w:ind w:firstLine="480" w:firstLineChars="200"/>
        <w:contextualSpacing/>
        <w:rPr>
          <w:rFonts w:ascii="Times New Roman" w:hAnsi="Times New Roman" w:cs="Times New Roman"/>
        </w:rPr>
      </w:pPr>
      <w:r>
        <w:rPr>
          <w:rFonts w:ascii="Times New Roman" w:hAnsi="Times New Roman" w:cs="Times New Roman"/>
        </w:rPr>
        <w:t>4</w:t>
      </w:r>
      <w:r>
        <w:rPr>
          <w:rFonts w:ascii="Times New Roman" w:cs="Times New Roman"/>
        </w:rPr>
        <w:t>、提供招标公告第</w:t>
      </w:r>
      <w:r>
        <w:rPr>
          <w:rFonts w:hint="eastAsia" w:ascii="Times New Roman" w:cs="Times New Roman"/>
        </w:rPr>
        <w:t>五</w:t>
      </w:r>
      <w:r>
        <w:rPr>
          <w:rFonts w:ascii="Times New Roman" w:cs="Times New Roman"/>
        </w:rPr>
        <w:t>条资格要求中的相应的佐证材料（提供复印件并加盖公</w:t>
      </w:r>
      <w:r>
        <w:rPr>
          <w:rFonts w:ascii="Times New Roman" w:hAnsi="Times New Roman" w:cs="Times New Roman"/>
        </w:rPr>
        <w:t>章）</w:t>
      </w:r>
      <w:r>
        <w:rPr>
          <w:rFonts w:hint="eastAsia" w:ascii="Times New Roman" w:hAnsi="Times New Roman" w:cs="Times New Roman"/>
        </w:rPr>
        <w:t>：</w:t>
      </w:r>
    </w:p>
    <w:p>
      <w:pPr>
        <w:pStyle w:val="45"/>
        <w:snapToGrid w:val="0"/>
        <w:spacing w:line="420" w:lineRule="exact"/>
        <w:ind w:firstLine="480" w:firstLineChars="200"/>
        <w:contextualSpacing/>
        <w:rPr>
          <w:rFonts w:ascii="Times New Roman" w:hAnsi="Times New Roman" w:cs="Times New Roman"/>
        </w:rPr>
      </w:pPr>
      <w:r>
        <w:rPr>
          <w:rFonts w:hint="eastAsia" w:ascii="Times New Roman" w:hAnsi="Times New Roman" w:cs="Times New Roman"/>
        </w:rPr>
        <w:t>4.1营业执照副本</w:t>
      </w:r>
      <w:r>
        <w:rPr>
          <w:rFonts w:ascii="Times New Roman" w:cs="Times New Roman"/>
        </w:rPr>
        <w:t>（提供复印件并加盖公章）</w:t>
      </w:r>
      <w:r>
        <w:rPr>
          <w:rFonts w:hint="eastAsia" w:ascii="Times New Roman" w:hAnsi="Times New Roman" w:cs="Times New Roman"/>
        </w:rPr>
        <w:t>；</w:t>
      </w:r>
    </w:p>
    <w:p>
      <w:pPr>
        <w:pStyle w:val="45"/>
        <w:snapToGrid w:val="0"/>
        <w:spacing w:line="420" w:lineRule="exact"/>
        <w:ind w:firstLine="480" w:firstLineChars="200"/>
        <w:contextualSpacing/>
        <w:rPr>
          <w:rFonts w:ascii="Times New Roman" w:hAnsi="Times New Roman" w:cs="Times New Roman"/>
        </w:rPr>
      </w:pPr>
      <w:r>
        <w:rPr>
          <w:rFonts w:hint="eastAsia" w:ascii="Times New Roman" w:hAnsi="Times New Roman" w:cs="Times New Roman"/>
        </w:rPr>
        <w:t>4.2企业2022年度财务报告(新成立企业可不提供)；</w:t>
      </w:r>
    </w:p>
    <w:p>
      <w:pPr>
        <w:pStyle w:val="45"/>
        <w:snapToGrid w:val="0"/>
        <w:spacing w:line="420" w:lineRule="exact"/>
        <w:ind w:firstLine="480" w:firstLineChars="200"/>
        <w:contextualSpacing/>
        <w:rPr>
          <w:rFonts w:ascii="Times New Roman" w:hAnsi="Times New Roman" w:cs="Times New Roman"/>
        </w:rPr>
      </w:pPr>
      <w:r>
        <w:rPr>
          <w:rFonts w:hint="eastAsia" w:ascii="Times New Roman" w:hAnsi="Times New Roman" w:cs="Times New Roman"/>
        </w:rPr>
        <w:t>4.3企业2022年度缴纳税收和社会保障资金的记录；</w:t>
      </w:r>
    </w:p>
    <w:p>
      <w:pPr>
        <w:pStyle w:val="45"/>
        <w:snapToGrid w:val="0"/>
        <w:spacing w:line="420" w:lineRule="exact"/>
        <w:ind w:firstLine="480" w:firstLineChars="200"/>
        <w:contextualSpacing/>
        <w:rPr>
          <w:rFonts w:ascii="Times New Roman" w:hAnsi="Times New Roman" w:cs="Times New Roman"/>
        </w:rPr>
      </w:pPr>
      <w:r>
        <w:rPr>
          <w:rFonts w:hint="eastAsia" w:ascii="Times New Roman" w:hAnsi="Times New Roman" w:cs="Times New Roman"/>
        </w:rPr>
        <w:t>4.4近3年在经营活动中没有重大违法记录的承诺书；</w:t>
      </w:r>
    </w:p>
    <w:p>
      <w:pPr>
        <w:pStyle w:val="45"/>
        <w:snapToGrid w:val="0"/>
        <w:spacing w:line="420" w:lineRule="exact"/>
        <w:ind w:firstLine="480" w:firstLineChars="200"/>
        <w:contextualSpacing/>
        <w:rPr>
          <w:rFonts w:ascii="Times New Roman" w:hAnsi="Times New Roman" w:cs="Times New Roman"/>
        </w:rPr>
      </w:pPr>
      <w:r>
        <w:rPr>
          <w:rFonts w:hint="eastAsia" w:ascii="Times New Roman" w:hAnsi="Times New Roman" w:cs="Times New Roman"/>
        </w:rPr>
        <w:t>4.5投标人根据招标公告认为需要提交的其他资料。</w:t>
      </w:r>
    </w:p>
    <w:p>
      <w:pPr>
        <w:pStyle w:val="45"/>
        <w:snapToGrid w:val="0"/>
        <w:spacing w:line="420" w:lineRule="exact"/>
        <w:ind w:left="549"/>
        <w:contextualSpacing/>
        <w:rPr>
          <w:rFonts w:ascii="Times New Roman" w:hAnsi="Times New Roman" w:cs="Times New Roman"/>
          <w:b/>
        </w:rPr>
      </w:pPr>
      <w:r>
        <w:rPr>
          <w:rFonts w:ascii="Times New Roman" w:cs="Times New Roman"/>
          <w:b/>
        </w:rPr>
        <w:t>三、报价标</w:t>
      </w:r>
      <w:r>
        <w:rPr>
          <w:rFonts w:ascii="Times New Roman" w:hAnsi="Times New Roman" w:cs="Times New Roman"/>
          <w:b/>
        </w:rPr>
        <w:t>(</w:t>
      </w:r>
      <w:r>
        <w:rPr>
          <w:rFonts w:ascii="Times New Roman" w:cs="Times New Roman"/>
          <w:b/>
        </w:rPr>
        <w:t>正本一份、副本</w:t>
      </w:r>
      <w:r>
        <w:rPr>
          <w:rFonts w:hint="eastAsia" w:ascii="Times New Roman" w:cs="Times New Roman"/>
          <w:b/>
        </w:rPr>
        <w:t>二</w:t>
      </w:r>
      <w:r>
        <w:rPr>
          <w:rFonts w:ascii="Times New Roman" w:cs="Times New Roman"/>
          <w:b/>
        </w:rPr>
        <w:t>份，单独密封</w:t>
      </w:r>
      <w:r>
        <w:rPr>
          <w:rFonts w:hint="eastAsia" w:ascii="Times New Roman" w:cs="Times New Roman"/>
          <w:b/>
        </w:rPr>
        <w:t>。</w:t>
      </w:r>
      <w:r>
        <w:rPr>
          <w:rFonts w:ascii="Times New Roman" w:cs="Times New Roman"/>
          <w:b/>
        </w:rPr>
        <w:t>不得出现在</w:t>
      </w:r>
      <w:r>
        <w:rPr>
          <w:rFonts w:hint="eastAsia" w:ascii="Times New Roman" w:cs="Times New Roman"/>
          <w:b/>
        </w:rPr>
        <w:t>原件包、资格审查证明材料、</w:t>
      </w:r>
      <w:r>
        <w:rPr>
          <w:rFonts w:ascii="Times New Roman" w:cs="Times New Roman"/>
          <w:b/>
        </w:rPr>
        <w:t>商务技术标</w:t>
      </w:r>
      <w:r>
        <w:rPr>
          <w:rFonts w:ascii="Times New Roman" w:hAnsi="Times New Roman" w:cs="Times New Roman"/>
          <w:b/>
        </w:rPr>
        <w:t>)</w:t>
      </w:r>
      <w:r>
        <w:rPr>
          <w:rFonts w:ascii="Times New Roman" w:cs="Times New Roman"/>
          <w:b/>
        </w:rPr>
        <w:t>：</w:t>
      </w:r>
    </w:p>
    <w:p>
      <w:pPr>
        <w:pStyle w:val="45"/>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w:t>
      </w:r>
      <w:r>
        <w:rPr>
          <w:rFonts w:hint="eastAsia" w:ascii="Times New Roman" w:cs="Times New Roman"/>
        </w:rPr>
        <w:t>报价函(格式见附件)</w:t>
      </w:r>
      <w:r>
        <w:rPr>
          <w:rFonts w:ascii="Times New Roman" w:cs="Times New Roman"/>
        </w:rPr>
        <w:t>；</w:t>
      </w:r>
    </w:p>
    <w:p>
      <w:pPr>
        <w:pStyle w:val="45"/>
        <w:snapToGrid w:val="0"/>
        <w:spacing w:line="420" w:lineRule="exact"/>
        <w:ind w:left="549"/>
        <w:contextualSpacing/>
        <w:rPr>
          <w:rFonts w:ascii="Times New Roman" w:hAnsi="Times New Roman" w:cs="Times New Roman"/>
        </w:rPr>
      </w:pPr>
      <w:r>
        <w:rPr>
          <w:rFonts w:ascii="Times New Roman" w:hAnsi="Times New Roman" w:cs="Times New Roman"/>
        </w:rPr>
        <w:t>2、投标报价明细表(如有、格式自拟)</w:t>
      </w:r>
      <w:r>
        <w:rPr>
          <w:rFonts w:hint="eastAsia" w:ascii="Times New Roman" w:hAnsi="Times New Roman" w:cs="Times New Roman"/>
        </w:rPr>
        <w:t>。</w:t>
      </w:r>
    </w:p>
    <w:p>
      <w:pPr>
        <w:pStyle w:val="45"/>
        <w:snapToGrid w:val="0"/>
        <w:spacing w:line="420" w:lineRule="exact"/>
        <w:ind w:left="549"/>
        <w:contextualSpacing/>
        <w:rPr>
          <w:rFonts w:ascii="Times New Roman" w:hAnsi="Times New Roman" w:cs="Times New Roman"/>
          <w:b/>
        </w:rPr>
      </w:pPr>
      <w:r>
        <w:rPr>
          <w:rFonts w:ascii="Times New Roman" w:cs="Times New Roman"/>
          <w:b/>
        </w:rPr>
        <w:t>四、商务技术标（正本一份、副本</w:t>
      </w:r>
      <w:r>
        <w:rPr>
          <w:rFonts w:hint="eastAsia" w:ascii="Times New Roman" w:cs="Times New Roman"/>
          <w:b/>
        </w:rPr>
        <w:t>二</w:t>
      </w:r>
      <w:r>
        <w:rPr>
          <w:rFonts w:ascii="Times New Roman" w:cs="Times New Roman"/>
          <w:b/>
        </w:rPr>
        <w:t>份</w:t>
      </w:r>
      <w:r>
        <w:rPr>
          <w:rFonts w:hint="eastAsia" w:ascii="Times New Roman" w:cs="Times New Roman"/>
          <w:b/>
        </w:rPr>
        <w:t>，</w:t>
      </w:r>
      <w:r>
        <w:rPr>
          <w:rFonts w:ascii="Times New Roman" w:cs="Times New Roman"/>
          <w:b/>
        </w:rPr>
        <w:t>不得出现报价。</w:t>
      </w:r>
      <w:r>
        <w:rPr>
          <w:rFonts w:hint="eastAsia" w:ascii="Times New Roman" w:cs="Times New Roman"/>
          <w:b/>
        </w:rPr>
        <w:t>单独密封</w:t>
      </w:r>
      <w:r>
        <w:rPr>
          <w:rFonts w:ascii="Times New Roman" w:cs="Times New Roman"/>
          <w:b/>
        </w:rPr>
        <w:t>）：</w:t>
      </w:r>
    </w:p>
    <w:p>
      <w:pPr>
        <w:pStyle w:val="45"/>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、投标人情况一览表</w:t>
      </w:r>
    </w:p>
    <w:p>
      <w:pPr>
        <w:pStyle w:val="45"/>
        <w:snapToGrid w:val="0"/>
        <w:spacing w:line="420" w:lineRule="exact"/>
        <w:ind w:left="549"/>
        <w:contextualSpacing/>
        <w:rPr>
          <w:rFonts w:ascii="Times New Roman" w:hAnsi="Times New Roman" w:cs="Times New Roman"/>
        </w:rPr>
      </w:pPr>
      <w:r>
        <w:rPr>
          <w:rFonts w:ascii="Times New Roman" w:hAnsi="Times New Roman" w:cs="Times New Roman"/>
        </w:rPr>
        <w:t>2</w:t>
      </w:r>
      <w:r>
        <w:rPr>
          <w:rFonts w:ascii="Times New Roman" w:cs="Times New Roman"/>
        </w:rPr>
        <w:t>、技术部分正负偏离表</w:t>
      </w:r>
    </w:p>
    <w:p>
      <w:pPr>
        <w:pStyle w:val="45"/>
        <w:snapToGrid w:val="0"/>
        <w:spacing w:line="420" w:lineRule="exact"/>
        <w:ind w:firstLine="482" w:firstLineChars="200"/>
        <w:contextualSpacing/>
        <w:rPr>
          <w:rFonts w:ascii="Times New Roman" w:hAnsi="Times New Roman" w:cs="Times New Roman"/>
          <w:b/>
        </w:rPr>
      </w:pPr>
      <w:r>
        <w:rPr>
          <w:rFonts w:ascii="Times New Roman" w:cs="Times New Roman"/>
          <w:b/>
        </w:rPr>
        <w:t>填制正负偏离表，完全响应的，请以空白表列示。不完全响应的，必须在偏离表中列示；列示不全的，视同故意隐瞒。</w:t>
      </w:r>
    </w:p>
    <w:p>
      <w:pPr>
        <w:pStyle w:val="45"/>
        <w:snapToGrid w:val="0"/>
        <w:spacing w:line="420" w:lineRule="exact"/>
        <w:ind w:firstLine="470" w:firstLineChars="196"/>
        <w:contextualSpacing/>
        <w:rPr>
          <w:rFonts w:ascii="Times New Roman" w:hAnsi="Times New Roman" w:cs="Times New Roman"/>
        </w:rPr>
      </w:pPr>
      <w:r>
        <w:rPr>
          <w:rFonts w:hint="eastAsia" w:ascii="Times New Roman" w:hAnsi="Times New Roman" w:cs="Times New Roman"/>
        </w:rPr>
        <w:t>3</w:t>
      </w:r>
      <w:r>
        <w:rPr>
          <w:rFonts w:ascii="Times New Roman" w:cs="Times New Roman"/>
        </w:rPr>
        <w:t>、</w:t>
      </w:r>
      <w:r>
        <w:rPr>
          <w:rFonts w:hint="eastAsia" w:ascii="Times New Roman" w:cs="Times New Roman"/>
        </w:rPr>
        <w:t>技术部分、商务部分评标办法中要求提供的全部资料</w:t>
      </w:r>
      <w:r>
        <w:rPr>
          <w:rFonts w:ascii="Times New Roman" w:cs="Times New Roman"/>
        </w:rPr>
        <w:t>。</w:t>
      </w:r>
    </w:p>
    <w:p>
      <w:pPr>
        <w:pStyle w:val="45"/>
        <w:snapToGrid w:val="0"/>
        <w:spacing w:line="420" w:lineRule="exact"/>
        <w:ind w:firstLine="470" w:firstLineChars="196"/>
        <w:contextualSpacing/>
        <w:rPr>
          <w:rFonts w:ascii="Times New Roman" w:cs="Times New Roman"/>
        </w:rPr>
      </w:pPr>
      <w:r>
        <w:rPr>
          <w:rFonts w:hint="eastAsia" w:ascii="Times New Roman" w:hAnsi="Times New Roman" w:cs="Times New Roman"/>
        </w:rPr>
        <w:t>4</w:t>
      </w:r>
      <w:r>
        <w:rPr>
          <w:rFonts w:ascii="Times New Roman" w:cs="Times New Roman"/>
        </w:rPr>
        <w:t>、投标人认为需要提交的其他资料。</w:t>
      </w:r>
    </w:p>
    <w:p>
      <w:pPr>
        <w:pStyle w:val="45"/>
        <w:snapToGrid w:val="0"/>
        <w:spacing w:line="420" w:lineRule="exact"/>
        <w:ind w:firstLine="472" w:firstLineChars="196"/>
        <w:contextualSpacing/>
        <w:jc w:val="center"/>
        <w:rPr>
          <w:rFonts w:ascii="Times New Roman" w:cs="Times New Roman"/>
          <w:b/>
        </w:rPr>
      </w:pPr>
      <w:r>
        <w:rPr>
          <w:rFonts w:ascii="Times New Roman" w:cs="Times New Roman"/>
          <w:b/>
        </w:rPr>
        <w:t>为方便评委评审，请投标人按评标办法中所涉及的事项顺序进行编制，可以</w:t>
      </w:r>
    </w:p>
    <w:p>
      <w:r>
        <w:rPr>
          <w:rFonts w:hAnsi="宋体"/>
          <w:b/>
          <w:kern w:val="0"/>
          <w:sz w:val="24"/>
        </w:rPr>
        <w:t>补充相关材料。</w:t>
      </w:r>
      <w:r>
        <w:br w:type="page"/>
      </w:r>
      <w:r>
        <w:rPr>
          <w:rFonts w:hint="eastAsia"/>
          <w:lang w:val="zh-CN"/>
        </w:rPr>
        <w:t>附件1</w:t>
      </w:r>
    </w:p>
    <w:p>
      <w:pPr>
        <w:pStyle w:val="45"/>
        <w:snapToGrid w:val="0"/>
        <w:spacing w:line="420" w:lineRule="exact"/>
        <w:ind w:firstLine="551" w:firstLineChars="196"/>
        <w:contextualSpacing/>
        <w:jc w:val="center"/>
        <w:rPr>
          <w:rFonts w:eastAsia="楷体_GB2312"/>
          <w:b/>
          <w:sz w:val="28"/>
          <w:szCs w:val="28"/>
        </w:rPr>
      </w:pPr>
      <w:r>
        <w:rPr>
          <w:rFonts w:hint="eastAsia"/>
          <w:b/>
          <w:sz w:val="28"/>
          <w:szCs w:val="28"/>
        </w:rPr>
        <w:t>投标人关于资格的声明函</w:t>
      </w:r>
    </w:p>
    <w:p>
      <w:pPr>
        <w:snapToGrid w:val="0"/>
        <w:spacing w:line="420" w:lineRule="exact"/>
        <w:jc w:val="center"/>
        <w:rPr>
          <w:rFonts w:ascii="仿宋_GB2312" w:eastAsia="仿宋_GB2312"/>
          <w:sz w:val="28"/>
          <w:szCs w:val="28"/>
          <w:lang w:val="zh-CN"/>
        </w:rPr>
      </w:pPr>
    </w:p>
    <w:p>
      <w:pPr>
        <w:snapToGrid w:val="0"/>
        <w:spacing w:line="420" w:lineRule="exact"/>
        <w:rPr>
          <w:rFonts w:ascii="宋体" w:hAnsi="宋体"/>
          <w:sz w:val="28"/>
          <w:szCs w:val="28"/>
          <w:lang w:val="zh-CN"/>
        </w:rPr>
      </w:pPr>
      <w:r>
        <w:rPr>
          <w:rFonts w:hint="eastAsia" w:ascii="宋体" w:hAnsi="宋体"/>
          <w:sz w:val="28"/>
          <w:szCs w:val="28"/>
        </w:rPr>
        <w:t>南通市中央创新区建设投资有限公司</w:t>
      </w:r>
      <w:r>
        <w:rPr>
          <w:rFonts w:hint="eastAsia" w:ascii="宋体" w:hAnsi="宋体"/>
          <w:sz w:val="28"/>
          <w:szCs w:val="28"/>
          <w:lang w:val="zh-CN"/>
        </w:rPr>
        <w:t>：</w:t>
      </w:r>
    </w:p>
    <w:p>
      <w:pPr>
        <w:snapToGrid w:val="0"/>
        <w:spacing w:line="420" w:lineRule="exact"/>
        <w:ind w:firstLine="560" w:firstLineChars="200"/>
        <w:contextualSpacing/>
        <w:rPr>
          <w:rFonts w:ascii="宋体" w:hAnsi="宋体"/>
          <w:sz w:val="28"/>
          <w:szCs w:val="28"/>
        </w:rPr>
      </w:pPr>
      <w:r>
        <w:rPr>
          <w:rFonts w:hint="eastAsia" w:ascii="宋体" w:hAnsi="宋体"/>
          <w:sz w:val="28"/>
          <w:szCs w:val="28"/>
        </w:rPr>
        <w:t>我公司认真对照招标公告，符合贵方提出的资格要求，自愿参加投标响应，并保证提供的资料文件是准确的和真实的。提供虚假材料的愿意承担相应的法律责任。</w:t>
      </w:r>
    </w:p>
    <w:p>
      <w:pPr>
        <w:snapToGrid w:val="0"/>
        <w:spacing w:line="420" w:lineRule="exact"/>
        <w:ind w:firstLine="560" w:firstLineChars="200"/>
        <w:rPr>
          <w:rFonts w:ascii="宋体" w:hAnsi="宋体"/>
          <w:sz w:val="28"/>
          <w:szCs w:val="28"/>
        </w:rPr>
      </w:pPr>
      <w:r>
        <w:rPr>
          <w:rFonts w:hint="eastAsia" w:ascii="宋体" w:hAnsi="宋体"/>
          <w:sz w:val="28"/>
          <w:szCs w:val="28"/>
        </w:rPr>
        <w:t>我公司承诺投标前3年内没有受各级管理部门的处分或处罚（含其授权服务的子公司、分公司等）。如被事后发现的，我公司同意被取消报名、投标、中标等资格，同时自愿承担违约处理（保证金的10%作为违约金）。</w:t>
      </w:r>
    </w:p>
    <w:p>
      <w:pPr>
        <w:snapToGrid w:val="0"/>
        <w:spacing w:line="420" w:lineRule="exact"/>
        <w:ind w:firstLine="80" w:firstLineChars="200"/>
        <w:rPr>
          <w:rFonts w:ascii="宋体" w:hAnsi="宋体"/>
          <w:sz w:val="4"/>
          <w:szCs w:val="28"/>
        </w:rPr>
      </w:pPr>
    </w:p>
    <w:p>
      <w:pPr>
        <w:snapToGrid w:val="0"/>
        <w:spacing w:line="420" w:lineRule="exact"/>
        <w:ind w:firstLine="562" w:firstLineChars="200"/>
        <w:rPr>
          <w:rFonts w:ascii="宋体" w:hAnsi="宋体"/>
          <w:sz w:val="6"/>
          <w:szCs w:val="28"/>
        </w:rPr>
      </w:pPr>
      <w:r>
        <w:rPr>
          <w:rFonts w:eastAsia="楷体_GB2312"/>
          <w:b/>
          <w:sz w:val="28"/>
          <w:szCs w:val="28"/>
        </w:rPr>
        <mc:AlternateContent>
          <mc:Choice Requires="wps">
            <w:drawing>
              <wp:anchor distT="0" distB="0" distL="114300" distR="114300" simplePos="0" relativeHeight="251659264" behindDoc="0" locked="0" layoutInCell="1" allowOverlap="1">
                <wp:simplePos x="0" y="0"/>
                <wp:positionH relativeFrom="column">
                  <wp:posOffset>3073400</wp:posOffset>
                </wp:positionH>
                <wp:positionV relativeFrom="paragraph">
                  <wp:posOffset>165735</wp:posOffset>
                </wp:positionV>
                <wp:extent cx="669925" cy="278765"/>
                <wp:effectExtent l="0" t="0" r="15875" b="6985"/>
                <wp:wrapNone/>
                <wp:docPr id="1" name="文本框 5"/>
                <wp:cNvGraphicFramePr/>
                <a:graphic xmlns:a="http://schemas.openxmlformats.org/drawingml/2006/main">
                  <a:graphicData uri="http://schemas.microsoft.com/office/word/2010/wordprocessingShape">
                    <wps:wsp>
                      <wps:cNvSpPr txBox="1"/>
                      <wps:spPr>
                        <a:xfrm>
                          <a:off x="0" y="0"/>
                          <a:ext cx="669925" cy="278765"/>
                        </a:xfrm>
                        <a:prstGeom prst="rect">
                          <a:avLst/>
                        </a:prstGeom>
                        <a:solidFill>
                          <a:srgbClr val="FFFFFF"/>
                        </a:solidFill>
                        <a:ln>
                          <a:noFill/>
                        </a:ln>
                        <a:effectLst/>
                      </wps:spPr>
                      <wps:txbx>
                        <w:txbxContent>
                          <w:p/>
                        </w:txbxContent>
                      </wps:txbx>
                      <wps:bodyPr upright="1"/>
                    </wps:wsp>
                  </a:graphicData>
                </a:graphic>
              </wp:anchor>
            </w:drawing>
          </mc:Choice>
          <mc:Fallback>
            <w:pict>
              <v:shape id="文本框 5" o:spid="_x0000_s1026" o:spt="202" type="#_x0000_t202" style="position:absolute;left:0pt;margin-left:242pt;margin-top:13.05pt;height:21.95pt;width:52.75pt;z-index:251659264;mso-width-relative:page;mso-height-relative:page;" fillcolor="#FFFFFF" filled="t" stroked="f" coordsize="21600,21600" o:gfxdata="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zdk4zXAAAACQEAAA8AAAAAAAAAAQAgAAAAIgAAAGRycy9kb3du&#10;cmV2LnhtbFBLAQIUABQAAAAIAIdO4kDcaozkxwEAAIQDAAAOAAAAAAAAAAEAIAAAACYBAABkcnMv&#10;ZTJvRG9jLnhtbFBLBQYAAAAABgAGAFkBAABfBQAAAAA=&#10;">
                <v:fill on="t" focussize="0,0"/>
                <v:stroke on="f"/>
                <v:imagedata o:title=""/>
                <o:lock v:ext="edit" aspectratio="f"/>
                <v:textbox>
                  <w:txbxContent>
                    <w:p/>
                  </w:txbxContent>
                </v:textbox>
              </v:shape>
            </w:pict>
          </mc:Fallback>
        </mc:AlternateContent>
      </w:r>
    </w:p>
    <w:p>
      <w:pPr>
        <w:snapToGrid w:val="0"/>
        <w:spacing w:line="420" w:lineRule="exact"/>
        <w:ind w:firstLine="3827" w:firstLineChars="1367"/>
        <w:rPr>
          <w:rFonts w:ascii="宋体" w:hAnsi="宋体"/>
          <w:sz w:val="28"/>
          <w:szCs w:val="28"/>
        </w:rPr>
      </w:pPr>
    </w:p>
    <w:p>
      <w:pPr>
        <w:snapToGrid w:val="0"/>
        <w:spacing w:line="420" w:lineRule="exact"/>
        <w:ind w:firstLine="3827" w:firstLineChars="1367"/>
        <w:rPr>
          <w:rFonts w:ascii="宋体" w:hAnsi="宋体"/>
          <w:sz w:val="28"/>
          <w:szCs w:val="28"/>
        </w:rPr>
      </w:pPr>
      <w:r>
        <w:rPr>
          <w:rFonts w:hint="eastAsia" w:ascii="宋体" w:hAnsi="宋体"/>
          <w:sz w:val="28"/>
          <w:szCs w:val="28"/>
        </w:rPr>
        <w:t>投标人名称（公章）</w:t>
      </w:r>
    </w:p>
    <w:p>
      <w:pPr>
        <w:snapToGrid w:val="0"/>
        <w:spacing w:line="420" w:lineRule="exact"/>
        <w:ind w:firstLine="3827" w:firstLineChars="1367"/>
        <w:rPr>
          <w:rFonts w:ascii="宋体" w:hAnsi="宋体"/>
          <w:sz w:val="28"/>
          <w:szCs w:val="28"/>
        </w:rPr>
      </w:pPr>
      <w:r>
        <w:rPr>
          <w:rFonts w:hint="eastAsia" w:ascii="宋体" w:hAnsi="宋体"/>
          <w:sz w:val="28"/>
          <w:szCs w:val="28"/>
        </w:rPr>
        <w:t>法定代表人(签字)：</w:t>
      </w:r>
    </w:p>
    <w:p>
      <w:pPr>
        <w:snapToGrid w:val="0"/>
        <w:spacing w:line="420" w:lineRule="exact"/>
        <w:ind w:right="560" w:firstLine="420" w:firstLineChars="150"/>
        <w:contextualSpacing/>
        <w:jc w:val="center"/>
        <w:rPr>
          <w:rFonts w:ascii="宋体" w:hAnsi="宋体"/>
          <w:sz w:val="28"/>
          <w:szCs w:val="28"/>
        </w:rPr>
      </w:pPr>
      <w:r>
        <w:rPr>
          <w:rFonts w:hint="eastAsia" w:ascii="宋体" w:hAnsi="宋体"/>
          <w:sz w:val="28"/>
          <w:szCs w:val="28"/>
        </w:rPr>
        <w:t xml:space="preserve">               被委托授权人(签字)：</w:t>
      </w:r>
    </w:p>
    <w:p>
      <w:pPr>
        <w:spacing w:line="420" w:lineRule="exact"/>
        <w:ind w:firstLine="6095" w:firstLineChars="2177"/>
        <w:rPr>
          <w:rFonts w:ascii="宋体" w:hAnsi="宋体"/>
          <w:sz w:val="28"/>
          <w:szCs w:val="28"/>
        </w:rPr>
      </w:pPr>
    </w:p>
    <w:p>
      <w:pPr>
        <w:spacing w:line="420" w:lineRule="exact"/>
        <w:ind w:firstLine="6095" w:firstLineChars="2177"/>
        <w:rPr>
          <w:rFonts w:ascii="宋体" w:hAnsi="宋体"/>
        </w:rPr>
      </w:pPr>
      <w:r>
        <w:rPr>
          <w:rFonts w:hint="eastAsia" w:ascii="宋体" w:hAnsi="宋体"/>
          <w:sz w:val="28"/>
          <w:szCs w:val="28"/>
        </w:rPr>
        <w:t>年   月   日</w:t>
      </w:r>
    </w:p>
    <w:p>
      <w:pPr>
        <w:pStyle w:val="30"/>
        <w:snapToGrid w:val="0"/>
        <w:spacing w:line="420" w:lineRule="exact"/>
        <w:ind w:firstLine="0" w:firstLineChars="0"/>
        <w:contextualSpacing/>
      </w:pPr>
      <w:r>
        <w:br w:type="page"/>
      </w:r>
    </w:p>
    <w:p>
      <w:pPr>
        <w:pStyle w:val="30"/>
        <w:snapToGrid w:val="0"/>
        <w:spacing w:line="420" w:lineRule="exact"/>
        <w:ind w:firstLine="0" w:firstLineChars="0"/>
        <w:contextualSpacing/>
        <w:jc w:val="center"/>
      </w:pPr>
      <w:r>
        <w:rPr>
          <w:b/>
          <w:sz w:val="36"/>
          <w:szCs w:val="36"/>
        </w:rPr>
        <mc:AlternateContent>
          <mc:Choice Requires="wps">
            <w:drawing>
              <wp:anchor distT="0" distB="0" distL="114300" distR="114300" simplePos="0" relativeHeight="251660288" behindDoc="0" locked="0" layoutInCell="1" allowOverlap="1">
                <wp:simplePos x="0" y="0"/>
                <wp:positionH relativeFrom="column">
                  <wp:posOffset>-384175</wp:posOffset>
                </wp:positionH>
                <wp:positionV relativeFrom="paragraph">
                  <wp:posOffset>-290830</wp:posOffset>
                </wp:positionV>
                <wp:extent cx="860425" cy="476250"/>
                <wp:effectExtent l="0" t="0" r="15875" b="0"/>
                <wp:wrapNone/>
                <wp:docPr id="2" name="文本框 6"/>
                <wp:cNvGraphicFramePr/>
                <a:graphic xmlns:a="http://schemas.openxmlformats.org/drawingml/2006/main">
                  <a:graphicData uri="http://schemas.microsoft.com/office/word/2010/wordprocessingShape">
                    <wps:wsp>
                      <wps:cNvSpPr txBox="1"/>
                      <wps:spPr>
                        <a:xfrm>
                          <a:off x="0" y="0"/>
                          <a:ext cx="860425" cy="476250"/>
                        </a:xfrm>
                        <a:prstGeom prst="rect">
                          <a:avLst/>
                        </a:prstGeom>
                        <a:solidFill>
                          <a:srgbClr val="FFFFFF"/>
                        </a:solidFill>
                        <a:ln>
                          <a:noFill/>
                        </a:ln>
                        <a:effectLst/>
                      </wps:spPr>
                      <wps:txbx>
                        <w:txbxContent>
                          <w:p>
                            <w:r>
                              <w:rPr>
                                <w:rFonts w:hint="eastAsia"/>
                                <w:lang w:val="zh-CN"/>
                              </w:rPr>
                              <w:t>附件2</w:t>
                            </w:r>
                          </w:p>
                        </w:txbxContent>
                      </wps:txbx>
                      <wps:bodyPr upright="1"/>
                    </wps:wsp>
                  </a:graphicData>
                </a:graphic>
              </wp:anchor>
            </w:drawing>
          </mc:Choice>
          <mc:Fallback>
            <w:pict>
              <v:shape id="文本框 6" o:spid="_x0000_s1026" o:spt="202" type="#_x0000_t202" style="position:absolute;left:0pt;margin-left:-30.25pt;margin-top:-22.9pt;height:37.5pt;width:67.75pt;z-index:251660288;mso-width-relative:page;mso-height-relative:page;" fillcolor="#FFFFFF" filled="t" stroked="f" coordsize="21600,21600" o:gfxdata="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uKaNPXAAAACQEAAA8AAAAAAAAAAQAgAAAAIgAAAGRycy9kb3du&#10;cmV2LnhtbFBLAQIUABQAAAAIAIdO4kAtJPQOxwEAAIQDAAAOAAAAAAAAAAEAIAAAACYBAABkcnMv&#10;ZTJvRG9jLnhtbFBLBQYAAAAABgAGAFkBAABfBQAAAAA=&#10;">
                <v:fill on="t" focussize="0,0"/>
                <v:stroke on="f"/>
                <v:imagedata o:title=""/>
                <o:lock v:ext="edit" aspectratio="f"/>
                <v:textbox>
                  <w:txbxContent>
                    <w:p>
                      <w:r>
                        <w:rPr>
                          <w:rFonts w:hint="eastAsia"/>
                          <w:lang w:val="zh-CN"/>
                        </w:rPr>
                        <w:t>附件2</w:t>
                      </w:r>
                    </w:p>
                  </w:txbxContent>
                </v:textbox>
              </v:shape>
            </w:pict>
          </mc:Fallback>
        </mc:AlternateContent>
      </w:r>
    </w:p>
    <w:p>
      <w:pPr>
        <w:pStyle w:val="30"/>
        <w:snapToGrid w:val="0"/>
        <w:spacing w:line="420" w:lineRule="exact"/>
        <w:ind w:firstLine="0" w:firstLineChars="0"/>
        <w:contextualSpacing/>
        <w:jc w:val="center"/>
        <w:rPr>
          <w:rFonts w:ascii="宋体" w:eastAsia="宋体"/>
          <w:b/>
          <w:sz w:val="28"/>
        </w:rPr>
      </w:pPr>
      <w:r>
        <w:rPr>
          <w:rFonts w:hint="eastAsia" w:ascii="宋体" w:eastAsia="宋体"/>
          <w:b/>
          <w:sz w:val="28"/>
        </w:rPr>
        <w:t>法定代表人身份证明书</w:t>
      </w:r>
    </w:p>
    <w:p>
      <w:pPr>
        <w:snapToGrid w:val="0"/>
        <w:spacing w:line="420" w:lineRule="exact"/>
        <w:ind w:firstLine="560" w:firstLineChars="200"/>
        <w:contextualSpacing/>
        <w:rPr>
          <w:rFonts w:ascii="宋体" w:hAnsi="宋体"/>
          <w:sz w:val="28"/>
          <w:szCs w:val="28"/>
        </w:rPr>
      </w:pPr>
    </w:p>
    <w:p>
      <w:pPr>
        <w:snapToGrid w:val="0"/>
        <w:spacing w:line="420" w:lineRule="exact"/>
        <w:ind w:firstLine="560" w:firstLineChars="200"/>
        <w:contextualSpacing/>
        <w:rPr>
          <w:rFonts w:ascii="宋体" w:hAnsi="宋体"/>
          <w:sz w:val="28"/>
          <w:szCs w:val="28"/>
        </w:rPr>
      </w:pPr>
      <w:r>
        <w:rPr>
          <w:rFonts w:hint="eastAsia" w:ascii="宋体" w:hAnsi="宋体"/>
          <w:sz w:val="28"/>
          <w:szCs w:val="28"/>
        </w:rPr>
        <w:t>先生／女士，现任我单位</w:t>
      </w:r>
      <w:r>
        <w:rPr>
          <w:rFonts w:hint="eastAsia" w:ascii="宋体" w:hAnsi="宋体"/>
          <w:sz w:val="28"/>
          <w:szCs w:val="28"/>
          <w:u w:val="single"/>
        </w:rPr>
        <w:t>　　　　　　　</w:t>
      </w:r>
      <w:r>
        <w:rPr>
          <w:rFonts w:hint="eastAsia" w:ascii="宋体" w:hAnsi="宋体"/>
          <w:sz w:val="28"/>
          <w:szCs w:val="28"/>
        </w:rPr>
        <w:t>职务，为本单位法定代表人，特此证明。</w:t>
      </w:r>
    </w:p>
    <w:p>
      <w:pPr>
        <w:snapToGrid w:val="0"/>
        <w:spacing w:line="420" w:lineRule="exact"/>
        <w:ind w:firstLine="560" w:firstLineChars="200"/>
        <w:contextualSpacing/>
        <w:rPr>
          <w:rFonts w:ascii="宋体" w:hAnsi="宋体"/>
          <w:sz w:val="28"/>
          <w:szCs w:val="28"/>
          <w:u w:val="single"/>
        </w:rPr>
      </w:pPr>
      <w:r>
        <w:rPr>
          <w:rFonts w:hint="eastAsia" w:ascii="宋体" w:hAnsi="宋体"/>
          <w:sz w:val="28"/>
          <w:szCs w:val="28"/>
        </w:rPr>
        <w:t>身份证号码：</w:t>
      </w:r>
    </w:p>
    <w:p>
      <w:pPr>
        <w:snapToGrid w:val="0"/>
        <w:spacing w:line="420" w:lineRule="exact"/>
        <w:contextualSpacing/>
        <w:rPr>
          <w:rFonts w:ascii="宋体" w:hAnsi="宋体"/>
          <w:b/>
          <w:sz w:val="28"/>
          <w:szCs w:val="28"/>
        </w:rPr>
      </w:pPr>
      <w:r>
        <w:rPr>
          <w:rFonts w:hint="eastAsia" w:ascii="宋体" w:hAnsi="宋体"/>
          <w:b/>
          <w:sz w:val="28"/>
          <w:szCs w:val="28"/>
        </w:rPr>
        <w:t>注：提供法定代表人的身份证复印件盖公章</w:t>
      </w:r>
    </w:p>
    <w:p>
      <w:pPr>
        <w:snapToGrid w:val="0"/>
        <w:spacing w:line="420" w:lineRule="exact"/>
        <w:ind w:firstLine="5180" w:firstLineChars="1850"/>
        <w:contextualSpacing/>
        <w:rPr>
          <w:rFonts w:ascii="宋体" w:hAnsi="宋体"/>
          <w:sz w:val="28"/>
          <w:szCs w:val="28"/>
        </w:rPr>
      </w:pPr>
    </w:p>
    <w:p>
      <w:pPr>
        <w:snapToGrid w:val="0"/>
        <w:spacing w:line="420" w:lineRule="exact"/>
        <w:ind w:firstLine="5180" w:firstLineChars="1850"/>
        <w:contextualSpacing/>
        <w:rPr>
          <w:rFonts w:ascii="宋体" w:hAnsi="宋体"/>
          <w:sz w:val="28"/>
          <w:szCs w:val="28"/>
        </w:rPr>
      </w:pPr>
      <w:r>
        <w:rPr>
          <w:rFonts w:hint="eastAsia" w:ascii="宋体" w:hAnsi="宋体"/>
          <w:sz w:val="28"/>
          <w:szCs w:val="28"/>
        </w:rPr>
        <w:t>投标人名称（盖章）</w:t>
      </w:r>
    </w:p>
    <w:p>
      <w:pPr>
        <w:snapToGrid w:val="0"/>
        <w:spacing w:line="420" w:lineRule="exact"/>
        <w:contextualSpacing/>
        <w:rPr>
          <w:rFonts w:ascii="宋体" w:hAnsi="宋体"/>
          <w:sz w:val="28"/>
          <w:szCs w:val="28"/>
        </w:rPr>
      </w:pPr>
    </w:p>
    <w:p>
      <w:pPr>
        <w:pStyle w:val="12"/>
        <w:snapToGrid w:val="0"/>
        <w:spacing w:line="420" w:lineRule="exact"/>
        <w:ind w:firstLine="5180" w:firstLineChars="1850"/>
        <w:contextualSpacing/>
        <w:rPr>
          <w:rFonts w:ascii="宋体" w:hAnsi="宋体"/>
          <w:bCs/>
          <w:sz w:val="28"/>
          <w:szCs w:val="28"/>
        </w:rPr>
      </w:pPr>
      <w:r>
        <w:rPr>
          <w:rFonts w:hint="eastAsia" w:ascii="宋体" w:hAnsi="宋体"/>
          <w:bCs/>
          <w:sz w:val="28"/>
          <w:szCs w:val="28"/>
        </w:rPr>
        <w:t>年    月    日</w:t>
      </w:r>
    </w:p>
    <w:p>
      <w:pPr>
        <w:snapToGrid w:val="0"/>
        <w:spacing w:line="420" w:lineRule="exact"/>
        <w:ind w:firstLine="517" w:firstLineChars="245"/>
        <w:contextualSpacing/>
        <w:jc w:val="center"/>
        <w:rPr>
          <w:rFonts w:ascii="宋体" w:hAnsi="宋体"/>
          <w:b/>
          <w:bCs/>
          <w:szCs w:val="21"/>
        </w:rPr>
      </w:pPr>
    </w:p>
    <w:p>
      <w:pPr>
        <w:pStyle w:val="30"/>
        <w:snapToGrid w:val="0"/>
        <w:spacing w:line="420" w:lineRule="exact"/>
        <w:ind w:firstLine="0" w:firstLineChars="0"/>
        <w:contextualSpacing/>
        <w:jc w:val="center"/>
        <w:rPr>
          <w:sz w:val="28"/>
        </w:rPr>
      </w:pPr>
      <w:r>
        <w:rPr>
          <w:sz w:val="28"/>
        </w:rPr>
        <w:br w:type="page"/>
      </w:r>
    </w:p>
    <w:p>
      <w:pPr>
        <w:pStyle w:val="30"/>
        <w:snapToGrid w:val="0"/>
        <w:spacing w:line="420" w:lineRule="exact"/>
        <w:ind w:firstLine="0" w:firstLineChars="0"/>
        <w:contextualSpacing/>
        <w:jc w:val="center"/>
        <w:rPr>
          <w:rFonts w:ascii="宋体" w:eastAsia="宋体"/>
          <w:b/>
          <w:sz w:val="28"/>
        </w:rPr>
      </w:pPr>
      <w:r>
        <w:rPr>
          <w:rFonts w:ascii="宋体" w:eastAsia="宋体"/>
          <w:b/>
          <w:sz w:val="28"/>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-288290</wp:posOffset>
                </wp:positionV>
                <wp:extent cx="860425" cy="476250"/>
                <wp:effectExtent l="0" t="0" r="15875" b="0"/>
                <wp:wrapNone/>
                <wp:docPr id="3" name="文本框 9"/>
                <wp:cNvGraphicFramePr/>
                <a:graphic xmlns:a="http://schemas.openxmlformats.org/drawingml/2006/main">
                  <a:graphicData uri="http://schemas.microsoft.com/office/word/2010/wordprocessingShape">
                    <wps:wsp>
                      <wps:cNvSpPr txBox="1"/>
                      <wps:spPr>
                        <a:xfrm>
                          <a:off x="0" y="0"/>
                          <a:ext cx="860425" cy="476250"/>
                        </a:xfrm>
                        <a:prstGeom prst="rect">
                          <a:avLst/>
                        </a:prstGeom>
                        <a:solidFill>
                          <a:srgbClr val="FFFFFF"/>
                        </a:solidFill>
                        <a:ln>
                          <a:noFill/>
                        </a:ln>
                        <a:effectLst/>
                      </wps:spPr>
                      <wps:txbx>
                        <w:txbxContent>
                          <w:p>
                            <w:r>
                              <w:rPr>
                                <w:rFonts w:hint="eastAsia"/>
                                <w:lang w:val="zh-CN"/>
                              </w:rPr>
                              <w:t>附件3</w:t>
                            </w:r>
                          </w:p>
                        </w:txbxContent>
                      </wps:txbx>
                      <wps:bodyPr upright="1"/>
                    </wps:wsp>
                  </a:graphicData>
                </a:graphic>
              </wp:anchor>
            </w:drawing>
          </mc:Choice>
          <mc:Fallback>
            <w:pict>
              <v:shape id="文本框 9" o:spid="_x0000_s1026" o:spt="202" type="#_x0000_t202" style="position:absolute;left:0pt;margin-left:-14.25pt;margin-top:-22.7pt;height:37.5pt;width:67.75pt;z-index:251661312;mso-width-relative:page;mso-height-relative:page;" fillcolor="#FFFFFF" filled="t" stroked="f" coordsize="21600,21600" o:gfxdata="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njb+9gAAAAKAQAADwAAAAAAAAABACAAAAAiAAAAZHJzL2Rv&#10;d25yZXYueG1sUEsBAhQAFAAAAAgAh07iQMA5rt7IAQAAhAMAAA4AAAAAAAAAAQAgAAAAJwEAAGRy&#10;cy9lMm9Eb2MueG1sUEsFBgAAAAAGAAYAWQEAAGEFAAAAAA==&#10;">
                <v:fill on="t" focussize="0,0"/>
                <v:stroke on="f"/>
                <v:imagedata o:title=""/>
                <o:lock v:ext="edit" aspectratio="f"/>
                <v:textbox>
                  <w:txbxContent>
                    <w:p>
                      <w:r>
                        <w:rPr>
                          <w:rFonts w:hint="eastAsia"/>
                          <w:lang w:val="zh-CN"/>
                        </w:rPr>
                        <w:t>附件3</w:t>
                      </w:r>
                    </w:p>
                  </w:txbxContent>
                </v:textbox>
              </v:shape>
            </w:pict>
          </mc:Fallback>
        </mc:AlternateContent>
      </w:r>
      <w:r>
        <w:rPr>
          <w:rFonts w:hint="eastAsia" w:ascii="宋体" w:eastAsia="宋体"/>
          <w:b/>
          <w:sz w:val="28"/>
        </w:rPr>
        <w:t>法定代表人授权委托书</w:t>
      </w:r>
    </w:p>
    <w:p>
      <w:pPr>
        <w:snapToGrid w:val="0"/>
        <w:spacing w:line="420" w:lineRule="exact"/>
        <w:ind w:firstLine="689" w:firstLineChars="245"/>
        <w:contextualSpacing/>
        <w:jc w:val="center"/>
        <w:rPr>
          <w:rFonts w:ascii="宋体" w:hAnsi="宋体"/>
          <w:b/>
          <w:bCs/>
          <w:sz w:val="28"/>
          <w:szCs w:val="28"/>
        </w:rPr>
      </w:pPr>
    </w:p>
    <w:p>
      <w:pPr>
        <w:snapToGrid w:val="0"/>
        <w:spacing w:line="420" w:lineRule="exact"/>
        <w:contextualSpacing/>
        <w:rPr>
          <w:rFonts w:ascii="宋体" w:hAnsi="宋体"/>
          <w:b/>
          <w:sz w:val="28"/>
          <w:szCs w:val="28"/>
        </w:rPr>
      </w:pPr>
      <w:r>
        <w:rPr>
          <w:rFonts w:hint="eastAsia" w:ascii="宋体" w:hAnsi="宋体"/>
          <w:sz w:val="28"/>
          <w:szCs w:val="28"/>
        </w:rPr>
        <w:t>南通市中央创新区建设投资有限公司</w:t>
      </w:r>
      <w:r>
        <w:rPr>
          <w:rFonts w:hint="eastAsia" w:ascii="宋体" w:hAnsi="宋体"/>
          <w:b/>
          <w:sz w:val="28"/>
          <w:szCs w:val="28"/>
        </w:rPr>
        <w:t>：</w:t>
      </w:r>
    </w:p>
    <w:p>
      <w:pPr>
        <w:pStyle w:val="10"/>
        <w:snapToGrid w:val="0"/>
        <w:spacing w:line="420" w:lineRule="exact"/>
        <w:ind w:firstLine="420"/>
        <w:contextualSpacing/>
        <w:rPr>
          <w:rFonts w:hAnsi="宋体"/>
          <w:sz w:val="28"/>
          <w:szCs w:val="28"/>
        </w:rPr>
      </w:pPr>
      <w:r>
        <w:rPr>
          <w:rFonts w:hint="eastAsia" w:hAnsi="宋体"/>
          <w:sz w:val="28"/>
          <w:szCs w:val="28"/>
        </w:rPr>
        <w:t xml:space="preserve"> 本授权委托书声明：我</w:t>
      </w:r>
      <w:r>
        <w:rPr>
          <w:rFonts w:hint="eastAsia" w:hAnsi="宋体"/>
          <w:sz w:val="28"/>
          <w:szCs w:val="28"/>
          <w:u w:val="single"/>
        </w:rPr>
        <w:t>　　   　</w:t>
      </w:r>
      <w:r>
        <w:rPr>
          <w:rFonts w:hint="eastAsia" w:hAnsi="宋体"/>
          <w:sz w:val="28"/>
          <w:szCs w:val="28"/>
        </w:rPr>
        <w:t>（姓名）系</w:t>
      </w:r>
      <w:r>
        <w:rPr>
          <w:rFonts w:hint="eastAsia" w:hAnsi="宋体"/>
          <w:sz w:val="28"/>
          <w:szCs w:val="28"/>
          <w:u w:val="single"/>
        </w:rPr>
        <w:t>　　  　</w:t>
      </w:r>
      <w:r>
        <w:rPr>
          <w:rFonts w:hint="eastAsia" w:hAnsi="宋体"/>
          <w:sz w:val="28"/>
          <w:szCs w:val="28"/>
        </w:rPr>
        <w:t>（投标人名称）的法定代表人，现授权委托</w:t>
      </w:r>
      <w:r>
        <w:rPr>
          <w:rFonts w:hint="eastAsia" w:hAnsi="宋体"/>
          <w:sz w:val="28"/>
          <w:szCs w:val="28"/>
          <w:u w:val="single"/>
        </w:rPr>
        <w:t>　　   （</w:t>
      </w:r>
      <w:r>
        <w:rPr>
          <w:rFonts w:hint="eastAsia" w:hAnsi="宋体"/>
          <w:sz w:val="28"/>
          <w:szCs w:val="28"/>
        </w:rPr>
        <w:t>姓名）为我公司代理人，以本公司的名义参加本项目的投标活动。代理人在开标、评标、合同招标过程中所签署的一切文件和处理与之有关的一切事务，我均予以承认。</w:t>
      </w:r>
    </w:p>
    <w:p>
      <w:pPr>
        <w:pStyle w:val="10"/>
        <w:snapToGrid w:val="0"/>
        <w:spacing w:line="420" w:lineRule="exact"/>
        <w:ind w:firstLine="420"/>
        <w:contextualSpacing/>
        <w:rPr>
          <w:rFonts w:hAnsi="宋体"/>
          <w:sz w:val="28"/>
          <w:szCs w:val="28"/>
        </w:rPr>
      </w:pPr>
      <w:r>
        <w:rPr>
          <w:rFonts w:hint="eastAsia" w:hAnsi="宋体"/>
          <w:sz w:val="28"/>
          <w:szCs w:val="28"/>
        </w:rPr>
        <w:t>被委托授权人无转委权。特此委托。</w:t>
      </w:r>
    </w:p>
    <w:p>
      <w:pPr>
        <w:pStyle w:val="10"/>
        <w:snapToGrid w:val="0"/>
        <w:spacing w:line="420" w:lineRule="exact"/>
        <w:ind w:firstLine="420"/>
        <w:contextualSpacing/>
        <w:rPr>
          <w:rFonts w:hAnsi="宋体"/>
          <w:sz w:val="28"/>
          <w:szCs w:val="28"/>
        </w:rPr>
      </w:pPr>
    </w:p>
    <w:p>
      <w:pPr>
        <w:pStyle w:val="10"/>
        <w:snapToGrid w:val="0"/>
        <w:spacing w:line="420" w:lineRule="exact"/>
        <w:ind w:firstLine="420"/>
        <w:contextualSpacing/>
        <w:rPr>
          <w:rFonts w:hAnsi="宋体"/>
          <w:sz w:val="28"/>
          <w:szCs w:val="28"/>
        </w:rPr>
      </w:pPr>
      <w:r>
        <w:rPr>
          <w:rFonts w:hint="eastAsia" w:hAnsi="宋体"/>
          <w:sz w:val="28"/>
          <w:szCs w:val="28"/>
        </w:rPr>
        <w:t>被委托授权人身份证号：</w:t>
      </w:r>
    </w:p>
    <w:p>
      <w:pPr>
        <w:snapToGrid w:val="0"/>
        <w:spacing w:line="420" w:lineRule="exact"/>
        <w:ind w:firstLine="420" w:firstLineChars="150"/>
        <w:contextualSpacing/>
        <w:rPr>
          <w:rFonts w:ascii="宋体" w:hAnsi="宋体"/>
          <w:sz w:val="28"/>
          <w:szCs w:val="28"/>
        </w:rPr>
      </w:pPr>
    </w:p>
    <w:p>
      <w:pPr>
        <w:snapToGrid w:val="0"/>
        <w:spacing w:line="420" w:lineRule="exact"/>
        <w:ind w:firstLine="420" w:firstLineChars="150"/>
        <w:contextualSpacing/>
        <w:rPr>
          <w:rFonts w:ascii="宋体" w:hAnsi="宋体"/>
          <w:sz w:val="28"/>
          <w:szCs w:val="28"/>
        </w:rPr>
      </w:pPr>
      <w:r>
        <w:rPr>
          <w:rFonts w:hint="eastAsia" w:ascii="宋体" w:hAnsi="宋体"/>
          <w:sz w:val="28"/>
          <w:szCs w:val="28"/>
        </w:rPr>
        <w:t>法定代表人签字：</w:t>
      </w:r>
    </w:p>
    <w:p>
      <w:pPr>
        <w:snapToGrid w:val="0"/>
        <w:spacing w:line="420" w:lineRule="exact"/>
        <w:ind w:firstLine="420" w:firstLineChars="150"/>
        <w:contextualSpacing/>
        <w:rPr>
          <w:rFonts w:ascii="宋体" w:hAnsi="宋体"/>
          <w:sz w:val="28"/>
          <w:szCs w:val="28"/>
        </w:rPr>
      </w:pPr>
    </w:p>
    <w:p>
      <w:pPr>
        <w:snapToGrid w:val="0"/>
        <w:spacing w:line="420" w:lineRule="exact"/>
        <w:ind w:firstLine="420" w:firstLineChars="150"/>
        <w:contextualSpacing/>
        <w:rPr>
          <w:rFonts w:ascii="宋体" w:hAnsi="宋体"/>
          <w:sz w:val="28"/>
          <w:szCs w:val="28"/>
        </w:rPr>
      </w:pPr>
      <w:r>
        <w:rPr>
          <w:rFonts w:hint="eastAsia" w:ascii="宋体" w:hAnsi="宋体"/>
          <w:sz w:val="28"/>
          <w:szCs w:val="28"/>
        </w:rPr>
        <w:t>被委托授权人签字：</w:t>
      </w:r>
    </w:p>
    <w:p>
      <w:pPr>
        <w:snapToGrid w:val="0"/>
        <w:spacing w:line="420" w:lineRule="exact"/>
        <w:ind w:firstLine="5180" w:firstLineChars="1850"/>
        <w:contextualSpacing/>
        <w:rPr>
          <w:rFonts w:ascii="宋体" w:hAnsi="宋体"/>
          <w:sz w:val="28"/>
          <w:szCs w:val="28"/>
        </w:rPr>
      </w:pPr>
    </w:p>
    <w:p>
      <w:pPr>
        <w:snapToGrid w:val="0"/>
        <w:spacing w:line="420" w:lineRule="exact"/>
        <w:ind w:firstLine="5180" w:firstLineChars="1850"/>
        <w:contextualSpacing/>
        <w:rPr>
          <w:rFonts w:ascii="宋体" w:hAnsi="宋体"/>
          <w:sz w:val="28"/>
          <w:szCs w:val="28"/>
        </w:rPr>
      </w:pPr>
      <w:r>
        <w:rPr>
          <w:rFonts w:hint="eastAsia" w:ascii="宋体" w:hAnsi="宋体"/>
          <w:sz w:val="28"/>
          <w:szCs w:val="28"/>
        </w:rPr>
        <w:t>投标人名称（盖章）</w:t>
      </w:r>
    </w:p>
    <w:p>
      <w:pPr>
        <w:snapToGrid w:val="0"/>
        <w:spacing w:line="420" w:lineRule="exact"/>
        <w:contextualSpacing/>
        <w:rPr>
          <w:rFonts w:ascii="宋体" w:hAnsi="宋体"/>
          <w:sz w:val="28"/>
          <w:szCs w:val="28"/>
        </w:rPr>
      </w:pPr>
    </w:p>
    <w:p>
      <w:pPr>
        <w:pStyle w:val="12"/>
        <w:snapToGrid w:val="0"/>
        <w:spacing w:line="420" w:lineRule="exact"/>
        <w:ind w:firstLine="5180" w:firstLineChars="1850"/>
        <w:contextualSpacing/>
        <w:rPr>
          <w:rFonts w:ascii="宋体" w:hAnsi="宋体"/>
          <w:bCs/>
          <w:sz w:val="28"/>
          <w:szCs w:val="28"/>
        </w:rPr>
      </w:pPr>
      <w:r>
        <w:rPr>
          <w:rFonts w:hint="eastAsia" w:ascii="宋体" w:hAnsi="宋体"/>
          <w:bCs/>
          <w:sz w:val="28"/>
          <w:szCs w:val="28"/>
        </w:rPr>
        <w:t>年    月    日</w:t>
      </w:r>
    </w:p>
    <w:p>
      <w:pPr>
        <w:pStyle w:val="10"/>
        <w:snapToGrid w:val="0"/>
        <w:spacing w:line="420" w:lineRule="exact"/>
        <w:ind w:firstLine="579"/>
        <w:contextualSpacing/>
        <w:rPr>
          <w:rFonts w:hAnsi="宋体"/>
          <w:b/>
          <w:sz w:val="28"/>
          <w:szCs w:val="28"/>
        </w:rPr>
      </w:pPr>
      <w:r>
        <w:rPr>
          <w:rFonts w:hint="eastAsia" w:hAnsi="宋体"/>
          <w:b/>
          <w:sz w:val="28"/>
          <w:szCs w:val="28"/>
        </w:rPr>
        <w:t>注：提供被委托授权人的身份证复印件盖公章</w:t>
      </w:r>
    </w:p>
    <w:p>
      <w:r>
        <w:rPr>
          <w:rFonts w:ascii="宋体" w:hAnsi="宋体"/>
          <w:b/>
          <w:sz w:val="36"/>
          <w:szCs w:val="36"/>
        </w:rPr>
        <w:br w:type="page"/>
      </w:r>
      <w:r>
        <w:rPr>
          <w:rFonts w:hint="eastAsia"/>
          <w:lang w:val="zh-CN"/>
        </w:rPr>
        <w:t>附件4</w:t>
      </w:r>
    </w:p>
    <w:p>
      <w:pPr>
        <w:tabs>
          <w:tab w:val="left" w:pos="1260"/>
        </w:tabs>
        <w:snapToGrid w:val="0"/>
        <w:spacing w:line="420" w:lineRule="exact"/>
        <w:contextualSpacing/>
        <w:jc w:val="center"/>
        <w:rPr>
          <w:rFonts w:ascii="宋体" w:hAnsi="宋体"/>
          <w:b/>
          <w:sz w:val="36"/>
          <w:szCs w:val="36"/>
        </w:rPr>
      </w:pPr>
      <w:r>
        <w:rPr>
          <w:rFonts w:hint="eastAsia" w:ascii="宋体" w:hAnsi="宋体"/>
          <w:b/>
          <w:sz w:val="36"/>
          <w:szCs w:val="36"/>
        </w:rPr>
        <w:t>投标人情况一览表</w:t>
      </w:r>
    </w:p>
    <w:tbl>
      <w:tblPr>
        <w:tblStyle w:val="19"/>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543"/>
        <w:gridCol w:w="70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993" w:type="dxa"/>
            <w:vAlign w:val="center"/>
          </w:tcPr>
          <w:p>
            <w:pPr>
              <w:tabs>
                <w:tab w:val="left" w:pos="993"/>
              </w:tabs>
              <w:spacing w:line="320" w:lineRule="exact"/>
              <w:rPr>
                <w:rFonts w:ascii="宋体" w:hAnsi="宋体"/>
                <w:sz w:val="28"/>
                <w:szCs w:val="28"/>
              </w:rPr>
            </w:pPr>
            <w:r>
              <w:rPr>
                <w:rFonts w:ascii="宋体" w:hAnsi="宋体"/>
                <w:sz w:val="28"/>
                <w:szCs w:val="28"/>
              </w:rPr>
              <w:t>1</w:t>
            </w:r>
          </w:p>
        </w:tc>
        <w:tc>
          <w:tcPr>
            <w:tcW w:w="7654" w:type="dxa"/>
            <w:gridSpan w:val="3"/>
            <w:vAlign w:val="center"/>
          </w:tcPr>
          <w:p>
            <w:pPr>
              <w:tabs>
                <w:tab w:val="left" w:pos="993"/>
              </w:tabs>
              <w:spacing w:line="320" w:lineRule="exact"/>
              <w:rPr>
                <w:rFonts w:ascii="宋体" w:hAnsi="宋体"/>
                <w:sz w:val="28"/>
                <w:szCs w:val="28"/>
              </w:rPr>
            </w:pPr>
            <w:r>
              <w:rPr>
                <w:rFonts w:ascii="宋体" w:hAnsi="宋体"/>
                <w:sz w:val="28"/>
                <w:szCs w:val="28"/>
              </w:rPr>
              <w:t>企业名称</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93" w:type="dxa"/>
            <w:vAlign w:val="center"/>
          </w:tcPr>
          <w:p>
            <w:pPr>
              <w:tabs>
                <w:tab w:val="left" w:pos="993"/>
              </w:tabs>
              <w:spacing w:line="320" w:lineRule="exact"/>
              <w:rPr>
                <w:rFonts w:ascii="宋体" w:hAnsi="宋体"/>
                <w:sz w:val="28"/>
                <w:szCs w:val="28"/>
              </w:rPr>
            </w:pPr>
            <w:r>
              <w:rPr>
                <w:rFonts w:ascii="宋体" w:hAnsi="宋体"/>
                <w:sz w:val="28"/>
                <w:szCs w:val="28"/>
              </w:rPr>
              <w:t>2</w:t>
            </w:r>
          </w:p>
        </w:tc>
        <w:tc>
          <w:tcPr>
            <w:tcW w:w="7654" w:type="dxa"/>
            <w:gridSpan w:val="3"/>
            <w:vAlign w:val="center"/>
          </w:tcPr>
          <w:p>
            <w:pPr>
              <w:tabs>
                <w:tab w:val="left" w:pos="993"/>
              </w:tabs>
              <w:spacing w:line="320" w:lineRule="exact"/>
              <w:rPr>
                <w:rFonts w:ascii="宋体" w:hAnsi="宋体"/>
                <w:sz w:val="28"/>
                <w:szCs w:val="28"/>
              </w:rPr>
            </w:pPr>
            <w:r>
              <w:rPr>
                <w:rFonts w:ascii="宋体" w:hAnsi="宋体"/>
                <w:sz w:val="28"/>
                <w:szCs w:val="28"/>
              </w:rPr>
              <w:t>总部地址</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993" w:type="dxa"/>
            <w:vAlign w:val="center"/>
          </w:tcPr>
          <w:p>
            <w:pPr>
              <w:tabs>
                <w:tab w:val="left" w:pos="993"/>
              </w:tabs>
              <w:spacing w:line="320" w:lineRule="exact"/>
              <w:rPr>
                <w:rFonts w:ascii="宋体" w:hAnsi="宋体"/>
                <w:sz w:val="28"/>
                <w:szCs w:val="28"/>
              </w:rPr>
            </w:pPr>
            <w:r>
              <w:rPr>
                <w:rFonts w:ascii="宋体" w:hAnsi="宋体"/>
                <w:sz w:val="28"/>
                <w:szCs w:val="28"/>
              </w:rPr>
              <w:t>3</w:t>
            </w:r>
          </w:p>
        </w:tc>
        <w:tc>
          <w:tcPr>
            <w:tcW w:w="7654" w:type="dxa"/>
            <w:gridSpan w:val="3"/>
            <w:vAlign w:val="center"/>
          </w:tcPr>
          <w:p>
            <w:pPr>
              <w:tabs>
                <w:tab w:val="left" w:pos="993"/>
              </w:tabs>
              <w:spacing w:line="320" w:lineRule="exact"/>
              <w:rPr>
                <w:rFonts w:ascii="宋体" w:hAnsi="宋体"/>
                <w:sz w:val="28"/>
                <w:szCs w:val="28"/>
              </w:rPr>
            </w:pPr>
            <w:r>
              <w:rPr>
                <w:rFonts w:ascii="宋体" w:hAnsi="宋体"/>
                <w:sz w:val="28"/>
                <w:szCs w:val="28"/>
              </w:rPr>
              <w:t>当地代表处地址</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93" w:type="dxa"/>
            <w:vAlign w:val="center"/>
          </w:tcPr>
          <w:p>
            <w:pPr>
              <w:tabs>
                <w:tab w:val="left" w:pos="993"/>
              </w:tabs>
              <w:spacing w:line="320" w:lineRule="exact"/>
              <w:rPr>
                <w:rFonts w:ascii="宋体" w:hAnsi="宋体"/>
                <w:sz w:val="28"/>
                <w:szCs w:val="28"/>
              </w:rPr>
            </w:pPr>
            <w:r>
              <w:rPr>
                <w:rFonts w:ascii="宋体" w:hAnsi="宋体"/>
                <w:sz w:val="28"/>
                <w:szCs w:val="28"/>
              </w:rPr>
              <w:t>4</w:t>
            </w:r>
          </w:p>
        </w:tc>
        <w:tc>
          <w:tcPr>
            <w:tcW w:w="3543" w:type="dxa"/>
            <w:vAlign w:val="center"/>
          </w:tcPr>
          <w:p>
            <w:pPr>
              <w:tabs>
                <w:tab w:val="left" w:pos="993"/>
              </w:tabs>
              <w:spacing w:line="320" w:lineRule="exact"/>
              <w:rPr>
                <w:rFonts w:ascii="宋体" w:hAnsi="宋体"/>
                <w:sz w:val="28"/>
                <w:szCs w:val="28"/>
              </w:rPr>
            </w:pPr>
            <w:r>
              <w:rPr>
                <w:rFonts w:ascii="宋体" w:hAnsi="宋体"/>
                <w:sz w:val="28"/>
                <w:szCs w:val="28"/>
              </w:rPr>
              <w:t>电话</w:t>
            </w:r>
            <w:r>
              <w:rPr>
                <w:rFonts w:hint="eastAsia" w:ascii="宋体" w:hAnsi="宋体"/>
                <w:sz w:val="28"/>
                <w:szCs w:val="28"/>
              </w:rPr>
              <w:t>：</w:t>
            </w:r>
          </w:p>
        </w:tc>
        <w:tc>
          <w:tcPr>
            <w:tcW w:w="4111" w:type="dxa"/>
            <w:gridSpan w:val="2"/>
            <w:vAlign w:val="center"/>
          </w:tcPr>
          <w:p>
            <w:pPr>
              <w:tabs>
                <w:tab w:val="left" w:pos="993"/>
              </w:tabs>
              <w:spacing w:line="320" w:lineRule="exact"/>
              <w:rPr>
                <w:rFonts w:ascii="宋体" w:hAnsi="宋体"/>
                <w:sz w:val="28"/>
                <w:szCs w:val="28"/>
              </w:rPr>
            </w:pPr>
            <w:r>
              <w:rPr>
                <w:rFonts w:ascii="宋体" w:hAnsi="宋体"/>
                <w:sz w:val="28"/>
                <w:szCs w:val="28"/>
              </w:rPr>
              <w:t>联系人</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93" w:type="dxa"/>
            <w:vAlign w:val="center"/>
          </w:tcPr>
          <w:p>
            <w:pPr>
              <w:tabs>
                <w:tab w:val="left" w:pos="993"/>
              </w:tabs>
              <w:spacing w:line="320" w:lineRule="exact"/>
              <w:rPr>
                <w:rFonts w:ascii="宋体" w:hAnsi="宋体"/>
                <w:sz w:val="28"/>
                <w:szCs w:val="28"/>
              </w:rPr>
            </w:pPr>
            <w:r>
              <w:rPr>
                <w:rFonts w:ascii="宋体" w:hAnsi="宋体"/>
                <w:sz w:val="28"/>
                <w:szCs w:val="28"/>
              </w:rPr>
              <w:t>5</w:t>
            </w:r>
          </w:p>
        </w:tc>
        <w:tc>
          <w:tcPr>
            <w:tcW w:w="3543" w:type="dxa"/>
            <w:vAlign w:val="center"/>
          </w:tcPr>
          <w:p>
            <w:pPr>
              <w:tabs>
                <w:tab w:val="left" w:pos="993"/>
              </w:tabs>
              <w:spacing w:line="320" w:lineRule="exact"/>
              <w:rPr>
                <w:rFonts w:ascii="宋体" w:hAnsi="宋体"/>
                <w:sz w:val="28"/>
                <w:szCs w:val="28"/>
              </w:rPr>
            </w:pPr>
            <w:r>
              <w:rPr>
                <w:rFonts w:ascii="宋体" w:hAnsi="宋体"/>
                <w:sz w:val="28"/>
                <w:szCs w:val="28"/>
              </w:rPr>
              <w:t>传真</w:t>
            </w:r>
            <w:r>
              <w:rPr>
                <w:rFonts w:hint="eastAsia" w:ascii="宋体" w:hAnsi="宋体"/>
                <w:sz w:val="28"/>
                <w:szCs w:val="28"/>
              </w:rPr>
              <w:t>：</w:t>
            </w:r>
          </w:p>
        </w:tc>
        <w:tc>
          <w:tcPr>
            <w:tcW w:w="4111" w:type="dxa"/>
            <w:gridSpan w:val="2"/>
            <w:vAlign w:val="center"/>
          </w:tcPr>
          <w:p>
            <w:pPr>
              <w:tabs>
                <w:tab w:val="left" w:pos="993"/>
              </w:tabs>
              <w:spacing w:line="320" w:lineRule="exact"/>
              <w:rPr>
                <w:rFonts w:ascii="宋体" w:hAnsi="宋体"/>
                <w:sz w:val="28"/>
                <w:szCs w:val="28"/>
              </w:rPr>
            </w:pPr>
            <w:r>
              <w:rPr>
                <w:rFonts w:ascii="宋体" w:hAnsi="宋体"/>
                <w:sz w:val="28"/>
                <w:szCs w:val="28"/>
              </w:rPr>
              <w:t>电子邮件</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93" w:type="dxa"/>
            <w:vAlign w:val="center"/>
          </w:tcPr>
          <w:p>
            <w:pPr>
              <w:tabs>
                <w:tab w:val="left" w:pos="993"/>
              </w:tabs>
              <w:spacing w:line="320" w:lineRule="exact"/>
              <w:rPr>
                <w:rFonts w:ascii="宋体" w:hAnsi="宋体"/>
                <w:sz w:val="28"/>
                <w:szCs w:val="28"/>
              </w:rPr>
            </w:pPr>
            <w:r>
              <w:rPr>
                <w:rFonts w:ascii="宋体" w:hAnsi="宋体"/>
                <w:sz w:val="28"/>
                <w:szCs w:val="28"/>
              </w:rPr>
              <w:t>6</w:t>
            </w:r>
          </w:p>
        </w:tc>
        <w:tc>
          <w:tcPr>
            <w:tcW w:w="3543" w:type="dxa"/>
            <w:vAlign w:val="center"/>
          </w:tcPr>
          <w:p>
            <w:pPr>
              <w:tabs>
                <w:tab w:val="left" w:pos="993"/>
              </w:tabs>
              <w:spacing w:line="320" w:lineRule="exact"/>
              <w:rPr>
                <w:rFonts w:ascii="宋体" w:hAnsi="宋体"/>
                <w:sz w:val="28"/>
                <w:szCs w:val="28"/>
              </w:rPr>
            </w:pPr>
            <w:r>
              <w:rPr>
                <w:rFonts w:ascii="宋体" w:hAnsi="宋体"/>
                <w:sz w:val="28"/>
                <w:szCs w:val="28"/>
              </w:rPr>
              <w:t>注册地</w:t>
            </w:r>
            <w:r>
              <w:rPr>
                <w:rFonts w:hint="eastAsia" w:ascii="宋体" w:hAnsi="宋体"/>
                <w:sz w:val="28"/>
                <w:szCs w:val="28"/>
              </w:rPr>
              <w:t>：</w:t>
            </w:r>
          </w:p>
        </w:tc>
        <w:tc>
          <w:tcPr>
            <w:tcW w:w="4111" w:type="dxa"/>
            <w:gridSpan w:val="2"/>
            <w:vAlign w:val="center"/>
          </w:tcPr>
          <w:p>
            <w:pPr>
              <w:tabs>
                <w:tab w:val="left" w:pos="993"/>
              </w:tabs>
              <w:spacing w:line="320" w:lineRule="exact"/>
              <w:rPr>
                <w:rFonts w:ascii="宋体" w:hAnsi="宋体"/>
                <w:sz w:val="28"/>
                <w:szCs w:val="28"/>
              </w:rPr>
            </w:pPr>
            <w:r>
              <w:rPr>
                <w:rFonts w:ascii="宋体" w:hAnsi="宋体"/>
                <w:sz w:val="28"/>
                <w:szCs w:val="28"/>
              </w:rPr>
              <w:t>注册年份</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93" w:type="dxa"/>
            <w:vAlign w:val="center"/>
          </w:tcPr>
          <w:p>
            <w:pPr>
              <w:tabs>
                <w:tab w:val="left" w:pos="993"/>
              </w:tabs>
              <w:spacing w:line="320" w:lineRule="exact"/>
              <w:rPr>
                <w:rFonts w:ascii="宋体" w:hAnsi="宋体"/>
                <w:sz w:val="28"/>
                <w:szCs w:val="28"/>
              </w:rPr>
            </w:pPr>
            <w:r>
              <w:rPr>
                <w:rFonts w:ascii="宋体" w:hAnsi="宋体"/>
                <w:sz w:val="28"/>
                <w:szCs w:val="28"/>
              </w:rPr>
              <w:t>7</w:t>
            </w:r>
          </w:p>
        </w:tc>
        <w:tc>
          <w:tcPr>
            <w:tcW w:w="7654" w:type="dxa"/>
            <w:gridSpan w:val="3"/>
            <w:vAlign w:val="center"/>
          </w:tcPr>
          <w:p>
            <w:pPr>
              <w:tabs>
                <w:tab w:val="left" w:pos="993"/>
              </w:tabs>
              <w:spacing w:line="320" w:lineRule="exact"/>
              <w:rPr>
                <w:rFonts w:ascii="宋体" w:hAnsi="宋体"/>
                <w:sz w:val="28"/>
                <w:szCs w:val="28"/>
              </w:rPr>
            </w:pPr>
            <w:r>
              <w:rPr>
                <w:rFonts w:ascii="宋体" w:hAnsi="宋体"/>
                <w:sz w:val="28"/>
                <w:szCs w:val="28"/>
              </w:rPr>
              <w:t>公司资质等级证书号（请附有关证书的复印件）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993" w:type="dxa"/>
            <w:vAlign w:val="center"/>
          </w:tcPr>
          <w:p>
            <w:pPr>
              <w:tabs>
                <w:tab w:val="left" w:pos="993"/>
              </w:tabs>
              <w:spacing w:line="320" w:lineRule="exact"/>
              <w:rPr>
                <w:rFonts w:ascii="宋体" w:hAnsi="宋体"/>
                <w:sz w:val="28"/>
                <w:szCs w:val="28"/>
              </w:rPr>
            </w:pPr>
            <w:r>
              <w:rPr>
                <w:rFonts w:ascii="宋体" w:hAnsi="宋体"/>
                <w:sz w:val="28"/>
                <w:szCs w:val="28"/>
              </w:rPr>
              <w:t>8</w:t>
            </w:r>
          </w:p>
        </w:tc>
        <w:tc>
          <w:tcPr>
            <w:tcW w:w="7654" w:type="dxa"/>
            <w:gridSpan w:val="3"/>
            <w:vAlign w:val="center"/>
          </w:tcPr>
          <w:p>
            <w:pPr>
              <w:tabs>
                <w:tab w:val="left" w:pos="993"/>
              </w:tabs>
              <w:spacing w:line="320" w:lineRule="exact"/>
              <w:rPr>
                <w:rFonts w:ascii="宋体" w:hAnsi="宋体"/>
                <w:sz w:val="28"/>
                <w:szCs w:val="28"/>
              </w:rPr>
            </w:pPr>
            <w:r>
              <w:rPr>
                <w:rFonts w:ascii="宋体" w:hAnsi="宋体"/>
                <w:sz w:val="28"/>
                <w:szCs w:val="28"/>
              </w:rPr>
              <w:t>公司</w:t>
            </w:r>
            <w:r>
              <w:rPr>
                <w:rFonts w:ascii="宋体" w:hAnsi="宋体"/>
                <w:sz w:val="28"/>
                <w:szCs w:val="28"/>
                <w:u w:val="single"/>
              </w:rPr>
              <w:t>（是否通过，何种）</w:t>
            </w:r>
            <w:r>
              <w:rPr>
                <w:rFonts w:ascii="宋体" w:hAnsi="宋体"/>
                <w:sz w:val="28"/>
                <w:szCs w:val="28"/>
              </w:rPr>
              <w:t>质量保证体系认证（如通过请附相关证书复印件</w:t>
            </w:r>
            <w:r>
              <w:rPr>
                <w:rFonts w:hint="eastAsia" w:ascii="宋体" w:hAnsi="宋体"/>
                <w:sz w:val="28"/>
                <w:szCs w:val="28"/>
              </w:rPr>
              <w:t>。</w:t>
            </w:r>
            <w:r>
              <w:rPr>
                <w:rFonts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93" w:type="dxa"/>
            <w:vAlign w:val="center"/>
          </w:tcPr>
          <w:p>
            <w:pPr>
              <w:tabs>
                <w:tab w:val="left" w:pos="993"/>
              </w:tabs>
              <w:spacing w:line="320" w:lineRule="exact"/>
              <w:rPr>
                <w:rFonts w:ascii="宋体" w:hAnsi="宋体"/>
                <w:sz w:val="28"/>
                <w:szCs w:val="28"/>
              </w:rPr>
            </w:pPr>
            <w:r>
              <w:rPr>
                <w:rFonts w:ascii="宋体" w:hAnsi="宋体"/>
                <w:sz w:val="28"/>
                <w:szCs w:val="28"/>
              </w:rPr>
              <w:t>9</w:t>
            </w:r>
          </w:p>
        </w:tc>
        <w:tc>
          <w:tcPr>
            <w:tcW w:w="7654" w:type="dxa"/>
            <w:gridSpan w:val="3"/>
            <w:vAlign w:val="center"/>
          </w:tcPr>
          <w:p>
            <w:pPr>
              <w:tabs>
                <w:tab w:val="left" w:pos="993"/>
              </w:tabs>
              <w:spacing w:line="320" w:lineRule="exact"/>
              <w:rPr>
                <w:rFonts w:ascii="宋体" w:hAnsi="宋体"/>
                <w:sz w:val="28"/>
                <w:szCs w:val="28"/>
              </w:rPr>
            </w:pPr>
            <w:r>
              <w:rPr>
                <w:rFonts w:hint="eastAsia" w:ascii="宋体" w:hAnsi="宋体"/>
                <w:sz w:val="28"/>
                <w:szCs w:val="28"/>
              </w:rPr>
              <w:t>服务经</w:t>
            </w:r>
            <w:r>
              <w:rPr>
                <w:rFonts w:ascii="宋体" w:hAnsi="宋体"/>
                <w:sz w:val="28"/>
                <w:szCs w:val="28"/>
              </w:rPr>
              <w:t>营范围1.</w:t>
            </w:r>
            <w:r>
              <w:rPr>
                <w:rFonts w:hint="eastAsia" w:ascii="宋体" w:hAnsi="宋体"/>
                <w:sz w:val="28"/>
                <w:szCs w:val="28"/>
              </w:rPr>
              <w:t>；2.</w:t>
            </w:r>
            <w:r>
              <w:rPr>
                <w:rFonts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93" w:type="dxa"/>
            <w:vAlign w:val="center"/>
          </w:tcPr>
          <w:p>
            <w:pPr>
              <w:tabs>
                <w:tab w:val="left" w:pos="993"/>
              </w:tabs>
              <w:spacing w:line="320" w:lineRule="exact"/>
              <w:rPr>
                <w:rFonts w:ascii="宋体" w:hAnsi="宋体"/>
                <w:sz w:val="28"/>
                <w:szCs w:val="28"/>
              </w:rPr>
            </w:pPr>
            <w:r>
              <w:rPr>
                <w:rFonts w:ascii="宋体" w:hAnsi="宋体"/>
                <w:sz w:val="28"/>
                <w:szCs w:val="28"/>
              </w:rPr>
              <w:t>10</w:t>
            </w:r>
          </w:p>
        </w:tc>
        <w:tc>
          <w:tcPr>
            <w:tcW w:w="4252" w:type="dxa"/>
            <w:gridSpan w:val="2"/>
            <w:vAlign w:val="center"/>
          </w:tcPr>
          <w:p>
            <w:pPr>
              <w:tabs>
                <w:tab w:val="left" w:pos="993"/>
              </w:tabs>
              <w:spacing w:line="320" w:lineRule="exact"/>
              <w:rPr>
                <w:rFonts w:ascii="宋体" w:hAnsi="宋体"/>
                <w:sz w:val="28"/>
                <w:szCs w:val="28"/>
              </w:rPr>
            </w:pPr>
            <w:r>
              <w:rPr>
                <w:rFonts w:hint="eastAsia" w:ascii="宋体" w:hAnsi="宋体"/>
                <w:sz w:val="28"/>
                <w:szCs w:val="28"/>
              </w:rPr>
              <w:t>投标人从事投标项目的</w:t>
            </w:r>
            <w:r>
              <w:rPr>
                <w:rFonts w:ascii="宋体" w:hAnsi="宋体"/>
                <w:sz w:val="28"/>
                <w:szCs w:val="28"/>
              </w:rPr>
              <w:t>年数</w:t>
            </w:r>
          </w:p>
        </w:tc>
        <w:tc>
          <w:tcPr>
            <w:tcW w:w="3402" w:type="dxa"/>
            <w:vAlign w:val="center"/>
          </w:tcPr>
          <w:p>
            <w:pPr>
              <w:tabs>
                <w:tab w:val="left" w:pos="993"/>
              </w:tabs>
              <w:spacing w:line="32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993" w:type="dxa"/>
            <w:vAlign w:val="center"/>
          </w:tcPr>
          <w:p>
            <w:pPr>
              <w:tabs>
                <w:tab w:val="left" w:pos="993"/>
              </w:tabs>
              <w:spacing w:line="320" w:lineRule="exact"/>
              <w:rPr>
                <w:rFonts w:ascii="宋体" w:hAnsi="宋体"/>
                <w:sz w:val="28"/>
                <w:szCs w:val="28"/>
              </w:rPr>
            </w:pPr>
            <w:r>
              <w:rPr>
                <w:rFonts w:ascii="宋体" w:hAnsi="宋体"/>
                <w:sz w:val="28"/>
                <w:szCs w:val="28"/>
              </w:rPr>
              <w:t>1</w:t>
            </w:r>
            <w:r>
              <w:rPr>
                <w:rFonts w:hint="eastAsia" w:ascii="宋体" w:hAnsi="宋体"/>
                <w:sz w:val="28"/>
                <w:szCs w:val="28"/>
              </w:rPr>
              <w:t>1</w:t>
            </w:r>
          </w:p>
        </w:tc>
        <w:tc>
          <w:tcPr>
            <w:tcW w:w="7654" w:type="dxa"/>
            <w:gridSpan w:val="3"/>
            <w:vAlign w:val="center"/>
          </w:tcPr>
          <w:p>
            <w:pPr>
              <w:tabs>
                <w:tab w:val="left" w:pos="993"/>
              </w:tabs>
              <w:spacing w:line="320" w:lineRule="exact"/>
              <w:rPr>
                <w:rFonts w:ascii="宋体" w:hAnsi="宋体"/>
                <w:sz w:val="28"/>
                <w:szCs w:val="28"/>
              </w:rPr>
            </w:pPr>
            <w:r>
              <w:rPr>
                <w:rFonts w:ascii="宋体" w:hAnsi="宋体"/>
                <w:sz w:val="28"/>
                <w:szCs w:val="28"/>
              </w:rPr>
              <w:t>其他需要说明的情况</w:t>
            </w:r>
            <w:r>
              <w:rPr>
                <w:rFonts w:hint="eastAsia" w:ascii="宋体" w:hAnsi="宋体"/>
                <w:sz w:val="28"/>
                <w:szCs w:val="28"/>
              </w:rPr>
              <w:t>，可自行添加</w:t>
            </w:r>
          </w:p>
        </w:tc>
      </w:tr>
    </w:tbl>
    <w:p>
      <w:pPr>
        <w:adjustRightInd w:val="0"/>
        <w:snapToGrid w:val="0"/>
        <w:spacing w:line="420" w:lineRule="exact"/>
        <w:jc w:val="center"/>
        <w:rPr>
          <w:rFonts w:ascii="宋体" w:hAnsi="宋体"/>
          <w:sz w:val="28"/>
          <w:szCs w:val="28"/>
        </w:rPr>
      </w:pPr>
      <w:r>
        <w:rPr>
          <w:rFonts w:hint="eastAsia" w:ascii="宋体" w:hAnsi="宋体"/>
          <w:sz w:val="28"/>
          <w:szCs w:val="28"/>
        </w:rPr>
        <w:t>注：本表不是格式化表格，投标人可根据需要，自行添加删除。</w:t>
      </w:r>
    </w:p>
    <w:p>
      <w:pPr>
        <w:suppressAutoHyphens/>
        <w:spacing w:line="420" w:lineRule="exact"/>
        <w:ind w:firstLine="2811" w:firstLineChars="1004"/>
        <w:jc w:val="left"/>
        <w:rPr>
          <w:rFonts w:ascii="宋体" w:hAnsi="宋体"/>
          <w:kern w:val="1"/>
          <w:sz w:val="28"/>
          <w:szCs w:val="28"/>
        </w:rPr>
      </w:pPr>
    </w:p>
    <w:p>
      <w:pPr>
        <w:suppressAutoHyphens/>
        <w:spacing w:line="420" w:lineRule="exact"/>
        <w:ind w:firstLine="2811" w:firstLineChars="1004"/>
        <w:jc w:val="left"/>
        <w:rPr>
          <w:rFonts w:ascii="宋体" w:hAnsi="宋体"/>
          <w:kern w:val="1"/>
          <w:sz w:val="28"/>
          <w:szCs w:val="28"/>
          <w:u w:val="single"/>
        </w:rPr>
      </w:pPr>
      <w:r>
        <w:rPr>
          <w:rFonts w:hint="eastAsia" w:ascii="宋体" w:hAnsi="宋体"/>
          <w:kern w:val="1"/>
          <w:sz w:val="28"/>
          <w:szCs w:val="28"/>
        </w:rPr>
        <w:t>投标</w:t>
      </w:r>
      <w:r>
        <w:rPr>
          <w:rFonts w:ascii="宋体" w:hAnsi="宋体"/>
          <w:kern w:val="1"/>
          <w:sz w:val="28"/>
          <w:szCs w:val="28"/>
        </w:rPr>
        <w:t>人名称(公章)：</w:t>
      </w:r>
    </w:p>
    <w:p>
      <w:pPr>
        <w:suppressAutoHyphens/>
        <w:spacing w:line="420" w:lineRule="exact"/>
        <w:ind w:firstLine="2811" w:firstLineChars="1004"/>
        <w:jc w:val="left"/>
        <w:rPr>
          <w:rFonts w:ascii="宋体" w:hAnsi="宋体"/>
          <w:kern w:val="1"/>
          <w:sz w:val="28"/>
          <w:szCs w:val="28"/>
          <w:u w:val="single"/>
        </w:rPr>
      </w:pPr>
      <w:r>
        <w:rPr>
          <w:rFonts w:ascii="宋体" w:hAnsi="宋体"/>
          <w:kern w:val="1"/>
          <w:sz w:val="28"/>
          <w:szCs w:val="28"/>
        </w:rPr>
        <w:t>法定代表人或授权代表（签字）：</w:t>
      </w:r>
    </w:p>
    <w:p>
      <w:pPr>
        <w:spacing w:line="420" w:lineRule="exact"/>
        <w:ind w:firstLine="2800" w:firstLineChars="1000"/>
      </w:pPr>
      <w:r>
        <w:rPr>
          <w:rFonts w:ascii="宋体" w:hAnsi="宋体"/>
          <w:sz w:val="28"/>
          <w:szCs w:val="28"/>
        </w:rPr>
        <w:t xml:space="preserve">日        期： </w:t>
      </w:r>
    </w:p>
    <w:p>
      <w:pPr>
        <w:spacing w:line="420" w:lineRule="exact"/>
      </w:pPr>
    </w:p>
    <w:p>
      <w:pPr>
        <w:spacing w:line="420" w:lineRule="exact"/>
        <w:jc w:val="center"/>
        <w:outlineLvl w:val="0"/>
        <w:rPr>
          <w:rFonts w:ascii="宋体" w:hAnsi="宋体"/>
          <w:sz w:val="24"/>
        </w:rPr>
      </w:pPr>
      <w:r>
        <w:br w:type="page"/>
      </w:r>
    </w:p>
    <w:p>
      <w:r>
        <w:rPr>
          <w:rFonts w:hint="eastAsia"/>
          <w:lang w:val="zh-CN"/>
        </w:rPr>
        <w:t>附件5</w:t>
      </w:r>
    </w:p>
    <w:p>
      <w:pPr>
        <w:pStyle w:val="30"/>
        <w:snapToGrid w:val="0"/>
        <w:spacing w:line="420" w:lineRule="exact"/>
        <w:ind w:firstLine="0" w:firstLineChars="0"/>
        <w:contextualSpacing/>
        <w:jc w:val="center"/>
        <w:rPr>
          <w:rFonts w:ascii="宋体"/>
          <w:b/>
          <w:sz w:val="28"/>
        </w:rPr>
      </w:pPr>
      <w:r>
        <w:rPr>
          <w:rFonts w:hint="eastAsia" w:ascii="宋体" w:eastAsia="宋体"/>
          <w:b/>
          <w:sz w:val="28"/>
        </w:rPr>
        <w:t>报价函</w:t>
      </w:r>
    </w:p>
    <w:p>
      <w:pPr>
        <w:autoSpaceDE w:val="0"/>
        <w:autoSpaceDN w:val="0"/>
        <w:adjustRightInd w:val="0"/>
        <w:spacing w:line="360" w:lineRule="auto"/>
        <w:jc w:val="left"/>
        <w:rPr>
          <w:rFonts w:ascii="宋体" w:hAnsi="Calibri" w:cs="宋体"/>
          <w:color w:val="000000"/>
          <w:kern w:val="0"/>
          <w:sz w:val="24"/>
        </w:rPr>
      </w:pPr>
    </w:p>
    <w:p>
      <w:pPr>
        <w:snapToGrid w:val="0"/>
        <w:spacing w:line="420" w:lineRule="exact"/>
        <w:contextualSpacing/>
        <w:rPr>
          <w:rFonts w:ascii="宋体" w:hAnsi="宋体"/>
          <w:b/>
          <w:sz w:val="28"/>
          <w:szCs w:val="28"/>
        </w:rPr>
      </w:pPr>
      <w:r>
        <w:rPr>
          <w:rFonts w:hint="eastAsia" w:ascii="宋体" w:hAnsi="宋体"/>
          <w:sz w:val="28"/>
          <w:szCs w:val="28"/>
        </w:rPr>
        <w:t>南通市中央创新区建设投资有限公司</w:t>
      </w:r>
      <w:r>
        <w:rPr>
          <w:rFonts w:hint="eastAsia" w:ascii="宋体" w:hAnsi="宋体"/>
          <w:b/>
          <w:sz w:val="28"/>
          <w:szCs w:val="28"/>
        </w:rPr>
        <w:t>：</w:t>
      </w:r>
    </w:p>
    <w:p>
      <w:pPr>
        <w:kinsoku w:val="0"/>
        <w:topLinePunct/>
        <w:adjustRightInd w:val="0"/>
        <w:snapToGrid w:val="0"/>
        <w:spacing w:line="360" w:lineRule="auto"/>
        <w:ind w:firstLine="560" w:firstLineChars="200"/>
        <w:rPr>
          <w:rFonts w:ascii="宋体" w:hAnsi="宋体"/>
          <w:sz w:val="28"/>
          <w:szCs w:val="28"/>
        </w:rPr>
      </w:pPr>
      <w:r>
        <w:rPr>
          <w:rFonts w:hint="eastAsia" w:ascii="宋体" w:hAnsi="宋体"/>
          <w:sz w:val="28"/>
          <w:szCs w:val="28"/>
        </w:rPr>
        <w:t>（一）我方已认真阅读项目的招标文件，并全部响应招标文件中的所有要求。</w:t>
      </w:r>
    </w:p>
    <w:p>
      <w:pPr>
        <w:kinsoku w:val="0"/>
        <w:topLinePunct/>
        <w:adjustRightInd w:val="0"/>
        <w:snapToGrid w:val="0"/>
        <w:spacing w:line="360" w:lineRule="auto"/>
        <w:ind w:firstLine="560" w:firstLineChars="200"/>
        <w:rPr>
          <w:rFonts w:ascii="宋体" w:hAnsi="宋体"/>
          <w:sz w:val="28"/>
          <w:szCs w:val="28"/>
        </w:rPr>
      </w:pPr>
      <w:r>
        <w:rPr>
          <w:rFonts w:hint="eastAsia" w:ascii="宋体" w:hAnsi="宋体"/>
          <w:sz w:val="28"/>
          <w:szCs w:val="28"/>
        </w:rPr>
        <w:t>（二）根据已收到的项目的招标文件，遵照有关规定并根据招标文件的要求，经慎重考虑后，我单位报价为： 元，按招标文件的要求承担本次招标范围内的全部内容。</w:t>
      </w:r>
    </w:p>
    <w:p>
      <w:pPr>
        <w:kinsoku w:val="0"/>
        <w:topLinePunct/>
        <w:adjustRightInd w:val="0"/>
        <w:snapToGrid w:val="0"/>
        <w:spacing w:line="360" w:lineRule="auto"/>
        <w:ind w:firstLine="560" w:firstLineChars="200"/>
        <w:rPr>
          <w:rFonts w:ascii="宋体" w:hAnsi="宋体"/>
          <w:sz w:val="28"/>
          <w:szCs w:val="28"/>
        </w:rPr>
      </w:pPr>
      <w:r>
        <w:rPr>
          <w:rFonts w:hint="eastAsia" w:ascii="宋体" w:hAnsi="宋体"/>
          <w:sz w:val="28"/>
          <w:szCs w:val="28"/>
        </w:rPr>
        <w:t>(三)贵单位的招标文件、中标通知书和本投标文件将构成约束我们双方的合同。</w:t>
      </w:r>
    </w:p>
    <w:p>
      <w:pPr>
        <w:kinsoku w:val="0"/>
        <w:topLinePunct/>
        <w:adjustRightInd w:val="0"/>
        <w:snapToGrid w:val="0"/>
        <w:spacing w:line="360" w:lineRule="auto"/>
        <w:ind w:firstLine="560" w:firstLineChars="200"/>
        <w:rPr>
          <w:rFonts w:ascii="宋体" w:hAnsi="宋体"/>
          <w:sz w:val="28"/>
          <w:szCs w:val="28"/>
        </w:rPr>
      </w:pPr>
    </w:p>
    <w:p>
      <w:pPr>
        <w:kinsoku w:val="0"/>
        <w:topLinePunct/>
        <w:adjustRightInd w:val="0"/>
        <w:snapToGrid w:val="0"/>
        <w:spacing w:line="360" w:lineRule="auto"/>
        <w:ind w:firstLine="560" w:firstLineChars="200"/>
        <w:rPr>
          <w:rFonts w:ascii="宋体" w:hAnsi="宋体"/>
          <w:sz w:val="28"/>
          <w:szCs w:val="28"/>
        </w:rPr>
      </w:pPr>
    </w:p>
    <w:p>
      <w:pPr>
        <w:kinsoku w:val="0"/>
        <w:topLinePunct/>
        <w:adjustRightInd w:val="0"/>
        <w:snapToGrid w:val="0"/>
        <w:spacing w:line="360" w:lineRule="auto"/>
        <w:ind w:firstLine="560" w:firstLineChars="200"/>
        <w:jc w:val="right"/>
        <w:rPr>
          <w:rFonts w:ascii="宋体" w:hAnsi="宋体"/>
          <w:sz w:val="28"/>
          <w:szCs w:val="28"/>
        </w:rPr>
      </w:pPr>
      <w:r>
        <w:rPr>
          <w:rFonts w:hint="eastAsia" w:ascii="宋体" w:hAnsi="宋体"/>
          <w:sz w:val="28"/>
          <w:szCs w:val="28"/>
        </w:rPr>
        <w:t>投标人(盖法人章)：</w:t>
      </w:r>
    </w:p>
    <w:p>
      <w:pPr>
        <w:kinsoku w:val="0"/>
        <w:topLinePunct/>
        <w:adjustRightInd w:val="0"/>
        <w:snapToGrid w:val="0"/>
        <w:spacing w:line="360" w:lineRule="auto"/>
        <w:ind w:firstLine="560" w:firstLineChars="200"/>
        <w:jc w:val="right"/>
        <w:rPr>
          <w:rFonts w:ascii="宋体" w:hAnsi="宋体"/>
          <w:sz w:val="28"/>
          <w:szCs w:val="28"/>
        </w:rPr>
      </w:pPr>
      <w:r>
        <w:rPr>
          <w:rFonts w:hint="eastAsia" w:ascii="宋体" w:hAnsi="宋体"/>
          <w:sz w:val="28"/>
          <w:szCs w:val="28"/>
        </w:rPr>
        <w:t>法定代表人或委托代理人(签字或盖章)：</w:t>
      </w:r>
    </w:p>
    <w:p>
      <w:pPr>
        <w:spacing w:line="420" w:lineRule="exact"/>
        <w:ind w:firstLine="5740" w:firstLineChars="2050"/>
        <w:outlineLvl w:val="0"/>
        <w:rPr>
          <w:rFonts w:ascii="宋体" w:hAnsi="宋体"/>
          <w:sz w:val="28"/>
          <w:szCs w:val="28"/>
        </w:rPr>
      </w:pPr>
      <w:r>
        <w:rPr>
          <w:rFonts w:hint="eastAsia" w:ascii="宋体" w:hAnsi="宋体"/>
          <w:sz w:val="28"/>
          <w:szCs w:val="28"/>
        </w:rPr>
        <w:t>日期：年</w:t>
      </w:r>
      <w:r>
        <w:rPr>
          <w:rFonts w:hint="eastAsia" w:ascii="宋体" w:hAnsi="宋体"/>
          <w:sz w:val="28"/>
          <w:szCs w:val="28"/>
          <w:lang w:val="en-US" w:eastAsia="zh-CN"/>
        </w:rPr>
        <w:t xml:space="preserve">  </w:t>
      </w:r>
      <w:bookmarkStart w:id="25" w:name="_GoBack"/>
      <w:bookmarkEnd w:id="25"/>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p>
    <w:p>
      <w:pPr>
        <w:spacing w:line="420" w:lineRule="exact"/>
        <w:ind w:left="1037" w:leftChars="-36" w:hanging="1113" w:hangingChars="530"/>
        <w:jc w:val="left"/>
      </w:pPr>
    </w:p>
    <w:p>
      <w:pPr>
        <w:spacing w:line="420" w:lineRule="exact"/>
        <w:ind w:left="1037" w:leftChars="-36" w:hanging="1113" w:hangingChars="530"/>
        <w:jc w:val="left"/>
      </w:pPr>
    </w:p>
    <w:p>
      <w:pPr>
        <w:pStyle w:val="2"/>
      </w:pPr>
    </w:p>
    <w:p>
      <w:pPr>
        <w:pStyle w:val="2"/>
      </w:pPr>
    </w:p>
    <w:p>
      <w:pPr>
        <w:pStyle w:val="2"/>
      </w:pPr>
    </w:p>
    <w:p>
      <w:pPr>
        <w:pStyle w:val="2"/>
      </w:pPr>
    </w:p>
    <w:p>
      <w:pPr>
        <w:pStyle w:val="2"/>
      </w:pPr>
    </w:p>
    <w:p>
      <w:pPr>
        <w:pStyle w:val="2"/>
      </w:pPr>
    </w:p>
    <w:p>
      <w:pPr>
        <w:pStyle w:val="2"/>
      </w:pPr>
    </w:p>
    <w:p>
      <w:pPr>
        <w:pStyle w:val="2"/>
      </w:pPr>
    </w:p>
    <w:p>
      <w:pPr>
        <w:pStyle w:val="42"/>
        <w:spacing w:line="420" w:lineRule="exact"/>
        <w:ind w:firstLine="0" w:firstLineChars="0"/>
        <w:rPr>
          <w:rFonts w:ascii="宋体" w:hAnsi="宋体"/>
          <w:sz w:val="24"/>
        </w:rPr>
      </w:pPr>
    </w:p>
    <w:p>
      <w:pPr>
        <w:pStyle w:val="42"/>
        <w:spacing w:line="420" w:lineRule="exact"/>
        <w:ind w:firstLine="0" w:firstLineChars="0"/>
        <w:rPr>
          <w:rFonts w:ascii="宋体" w:hAnsi="宋体"/>
          <w:sz w:val="24"/>
        </w:rPr>
      </w:pPr>
      <w:r>
        <w:rPr>
          <w:rFonts w:hint="eastAsia" w:ascii="宋体" w:hAnsi="宋体"/>
          <w:sz w:val="24"/>
        </w:rPr>
        <w:t>附件6</w:t>
      </w:r>
    </w:p>
    <w:p>
      <w:pPr>
        <w:spacing w:line="420" w:lineRule="exact"/>
        <w:jc w:val="center"/>
        <w:rPr>
          <w:rFonts w:ascii="宋体" w:hAnsi="宋体"/>
          <w:b/>
          <w:sz w:val="28"/>
          <w:szCs w:val="28"/>
        </w:rPr>
      </w:pPr>
      <w:r>
        <w:rPr>
          <w:rFonts w:hint="eastAsia" w:ascii="宋体" w:hAnsi="宋体"/>
          <w:b/>
          <w:sz w:val="28"/>
          <w:szCs w:val="28"/>
        </w:rPr>
        <w:t>技术部分正负偏离表</w:t>
      </w:r>
    </w:p>
    <w:p>
      <w:pPr>
        <w:spacing w:line="420" w:lineRule="exact"/>
        <w:ind w:firstLine="562" w:firstLineChars="200"/>
        <w:jc w:val="center"/>
        <w:rPr>
          <w:rFonts w:ascii="宋体" w:hAnsi="宋体"/>
          <w:sz w:val="28"/>
          <w:szCs w:val="28"/>
        </w:rPr>
      </w:pPr>
      <w:r>
        <w:rPr>
          <w:rFonts w:ascii="宋体" w:hAnsi="宋体"/>
          <w:b/>
          <w:sz w:val="28"/>
          <w:szCs w:val="28"/>
        </w:rPr>
        <mc:AlternateContent>
          <mc:Choice Requires="wps">
            <w:drawing>
              <wp:anchor distT="0" distB="0" distL="114300" distR="114300" simplePos="0" relativeHeight="251662336" behindDoc="0" locked="0" layoutInCell="1" allowOverlap="1">
                <wp:simplePos x="0" y="0"/>
                <wp:positionH relativeFrom="column">
                  <wp:posOffset>-273050</wp:posOffset>
                </wp:positionH>
                <wp:positionV relativeFrom="paragraph">
                  <wp:posOffset>-453390</wp:posOffset>
                </wp:positionV>
                <wp:extent cx="860425" cy="476250"/>
                <wp:effectExtent l="0" t="0" r="15875" b="0"/>
                <wp:wrapNone/>
                <wp:docPr id="4" name="文本框 7"/>
                <wp:cNvGraphicFramePr/>
                <a:graphic xmlns:a="http://schemas.openxmlformats.org/drawingml/2006/main">
                  <a:graphicData uri="http://schemas.microsoft.com/office/word/2010/wordprocessingShape">
                    <wps:wsp>
                      <wps:cNvSpPr txBox="1"/>
                      <wps:spPr>
                        <a:xfrm>
                          <a:off x="0" y="0"/>
                          <a:ext cx="860425" cy="476250"/>
                        </a:xfrm>
                        <a:prstGeom prst="rect">
                          <a:avLst/>
                        </a:prstGeom>
                        <a:solidFill>
                          <a:srgbClr val="FFFFFF"/>
                        </a:solidFill>
                        <a:ln>
                          <a:noFill/>
                        </a:ln>
                        <a:effectLst/>
                      </wps:spPr>
                      <wps:txbx>
                        <w:txbxContent>
                          <w:p>
                            <w:r>
                              <w:rPr>
                                <w:rFonts w:hint="eastAsia"/>
                                <w:lang w:val="zh-CN"/>
                              </w:rPr>
                              <w:t>附件7</w:t>
                            </w:r>
                          </w:p>
                        </w:txbxContent>
                      </wps:txbx>
                      <wps:bodyPr upright="1"/>
                    </wps:wsp>
                  </a:graphicData>
                </a:graphic>
              </wp:anchor>
            </w:drawing>
          </mc:Choice>
          <mc:Fallback>
            <w:pict>
              <v:shape id="文本框 7" o:spid="_x0000_s1026" o:spt="202" type="#_x0000_t202" style="position:absolute;left:0pt;margin-left:-21.5pt;margin-top:-35.7pt;height:37.5pt;width:67.75pt;z-index:251662336;mso-width-relative:page;mso-height-relative:page;" fillcolor="#FFFFFF" filled="t" stroked="f" coordsize="21600,21600" o:gfxdata="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ORbCB1wAAAAgBAAAPAAAAAAAAAAEAIAAAACIAAABkcnMvZG93&#10;bnJldi54bWxQSwECFAAUAAAACACHTuJAHqbEesgBAACEAwAADgAAAAAAAAABACAAAAAmAQAAZHJz&#10;L2Uyb0RvYy54bWxQSwUGAAAAAAYABgBZAQAAYAUAAAAA&#10;">
                <v:fill on="t" focussize="0,0"/>
                <v:stroke on="f"/>
                <v:imagedata o:title=""/>
                <o:lock v:ext="edit" aspectratio="f"/>
                <v:textbox>
                  <w:txbxContent>
                    <w:p>
                      <w:r>
                        <w:rPr>
                          <w:rFonts w:hint="eastAsia"/>
                          <w:lang w:val="zh-CN"/>
                        </w:rPr>
                        <w:t>附件7</w:t>
                      </w:r>
                    </w:p>
                  </w:txbxContent>
                </v:textbox>
              </v:shape>
            </w:pict>
          </mc:Fallback>
        </mc:AlternateContent>
      </w:r>
      <w:r>
        <w:rPr>
          <w:rFonts w:hint="eastAsia" w:ascii="宋体" w:hAnsi="宋体"/>
          <w:sz w:val="28"/>
          <w:szCs w:val="28"/>
        </w:rPr>
        <w:t>（由投标人据实提交，表格不够自行添加）</w:t>
      </w:r>
    </w:p>
    <w:p>
      <w:pPr>
        <w:spacing w:line="420" w:lineRule="exact"/>
        <w:ind w:firstLine="280" w:firstLineChars="100"/>
        <w:rPr>
          <w:rFonts w:ascii="宋体" w:hAnsi="宋体"/>
          <w:sz w:val="28"/>
          <w:szCs w:val="28"/>
          <w:u w:val="single"/>
        </w:rPr>
      </w:pPr>
      <w:r>
        <w:rPr>
          <w:rFonts w:hint="eastAsia" w:ascii="宋体" w:hAnsi="宋体"/>
          <w:sz w:val="28"/>
          <w:szCs w:val="28"/>
        </w:rPr>
        <w:t>货物或服务名称：</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26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649" w:type="dxa"/>
            <w:tcBorders>
              <w:top w:val="single" w:color="auto" w:sz="12" w:space="0"/>
              <w:left w:val="single" w:color="auto" w:sz="12" w:space="0"/>
              <w:bottom w:val="single" w:color="auto" w:sz="6" w:space="0"/>
              <w:right w:val="single" w:color="auto" w:sz="6" w:space="0"/>
            </w:tcBorders>
            <w:vAlign w:val="center"/>
          </w:tcPr>
          <w:p>
            <w:pPr>
              <w:spacing w:line="420" w:lineRule="exact"/>
              <w:jc w:val="center"/>
              <w:rPr>
                <w:rFonts w:ascii="宋体" w:hAnsi="宋体"/>
                <w:sz w:val="28"/>
                <w:szCs w:val="28"/>
              </w:rPr>
            </w:pPr>
            <w:r>
              <w:rPr>
                <w:rFonts w:hint="eastAsia" w:ascii="宋体" w:hAnsi="宋体"/>
                <w:sz w:val="28"/>
                <w:szCs w:val="28"/>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r>
              <w:rPr>
                <w:rFonts w:hint="eastAsia" w:ascii="宋体" w:hAnsi="宋体"/>
                <w:sz w:val="28"/>
                <w:szCs w:val="28"/>
              </w:rPr>
              <w:t>项目</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r>
              <w:rPr>
                <w:rFonts w:hint="eastAsia" w:ascii="宋体" w:hAnsi="宋体"/>
                <w:sz w:val="28"/>
                <w:szCs w:val="28"/>
              </w:rPr>
              <w:t>招标文件要求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r>
              <w:rPr>
                <w:rFonts w:hint="eastAsia" w:ascii="宋体" w:hAnsi="宋体"/>
                <w:sz w:val="28"/>
                <w:szCs w:val="28"/>
              </w:rPr>
              <w:t>投标文件响应情况</w:t>
            </w:r>
          </w:p>
        </w:tc>
        <w:tc>
          <w:tcPr>
            <w:tcW w:w="1417" w:type="dxa"/>
            <w:tcBorders>
              <w:top w:val="single" w:color="auto" w:sz="12" w:space="0"/>
              <w:left w:val="single" w:color="auto" w:sz="6" w:space="0"/>
              <w:bottom w:val="single" w:color="auto" w:sz="6" w:space="0"/>
              <w:right w:val="single" w:color="auto" w:sz="12" w:space="0"/>
            </w:tcBorders>
          </w:tcPr>
          <w:p>
            <w:pPr>
              <w:spacing w:line="420" w:lineRule="exact"/>
              <w:jc w:val="center"/>
              <w:rPr>
                <w:rFonts w:ascii="宋体" w:hAnsi="宋体"/>
                <w:sz w:val="28"/>
                <w:szCs w:val="28"/>
              </w:rPr>
            </w:pPr>
          </w:p>
          <w:p>
            <w:pPr>
              <w:spacing w:line="420" w:lineRule="exact"/>
              <w:jc w:val="center"/>
              <w:rPr>
                <w:rFonts w:ascii="宋体" w:hAnsi="宋体"/>
                <w:sz w:val="28"/>
                <w:szCs w:val="28"/>
              </w:rPr>
            </w:pPr>
            <w:r>
              <w:rPr>
                <w:rFonts w:hint="eastAsia" w:ascii="宋体" w:hAnsi="宋体"/>
                <w:sz w:val="28"/>
                <w:szCs w:val="28"/>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649" w:type="dxa"/>
            <w:tcBorders>
              <w:top w:val="single" w:color="auto" w:sz="6" w:space="0"/>
              <w:left w:val="single" w:color="auto" w:sz="12" w:space="0"/>
              <w:bottom w:val="single" w:color="auto" w:sz="6" w:space="0"/>
              <w:right w:val="single" w:color="auto" w:sz="6" w:space="0"/>
            </w:tcBorders>
          </w:tcPr>
          <w:p>
            <w:pPr>
              <w:spacing w:line="420" w:lineRule="exact"/>
              <w:jc w:val="center"/>
              <w:rPr>
                <w:rFonts w:ascii="宋体" w:hAnsi="宋体"/>
                <w:sz w:val="28"/>
                <w:szCs w:val="28"/>
              </w:rPr>
            </w:pPr>
          </w:p>
          <w:p>
            <w:pPr>
              <w:spacing w:line="420" w:lineRule="exact"/>
              <w:jc w:val="center"/>
              <w:rPr>
                <w:rFonts w:ascii="宋体" w:hAnsi="宋体"/>
                <w:sz w:val="28"/>
                <w:szCs w:val="28"/>
              </w:rPr>
            </w:pPr>
            <w:r>
              <w:rPr>
                <w:rFonts w:hint="eastAsia" w:ascii="宋体" w:hAnsi="宋体"/>
                <w:sz w:val="28"/>
                <w:szCs w:val="28"/>
              </w:rPr>
              <w:t>1</w:t>
            </w:r>
          </w:p>
        </w:tc>
        <w:tc>
          <w:tcPr>
            <w:tcW w:w="126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420" w:lineRule="exact"/>
              <w:rPr>
                <w:rFonts w:ascii="宋体" w:hAnsi="宋体"/>
                <w:sz w:val="28"/>
                <w:szCs w:val="28"/>
              </w:rPr>
            </w:pPr>
          </w:p>
        </w:tc>
        <w:tc>
          <w:tcPr>
            <w:tcW w:w="1417" w:type="dxa"/>
            <w:tcBorders>
              <w:top w:val="single" w:color="auto" w:sz="6" w:space="0"/>
              <w:left w:val="single" w:color="auto" w:sz="6" w:space="0"/>
              <w:bottom w:val="single" w:color="auto" w:sz="6" w:space="0"/>
              <w:right w:val="single" w:color="auto" w:sz="12" w:space="0"/>
            </w:tcBorders>
          </w:tcPr>
          <w:p>
            <w:pPr>
              <w:spacing w:line="42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649" w:type="dxa"/>
            <w:tcBorders>
              <w:top w:val="single" w:color="auto" w:sz="6" w:space="0"/>
              <w:left w:val="single" w:color="auto" w:sz="12" w:space="0"/>
              <w:bottom w:val="single" w:color="auto" w:sz="6" w:space="0"/>
              <w:right w:val="single" w:color="auto" w:sz="6" w:space="0"/>
            </w:tcBorders>
          </w:tcPr>
          <w:p>
            <w:pPr>
              <w:spacing w:line="420" w:lineRule="exact"/>
              <w:jc w:val="center"/>
              <w:rPr>
                <w:rFonts w:ascii="宋体" w:hAnsi="宋体"/>
                <w:sz w:val="28"/>
                <w:szCs w:val="28"/>
              </w:rPr>
            </w:pPr>
          </w:p>
          <w:p>
            <w:pPr>
              <w:spacing w:line="420" w:lineRule="exact"/>
              <w:jc w:val="center"/>
              <w:rPr>
                <w:rFonts w:ascii="宋体" w:hAnsi="宋体"/>
                <w:sz w:val="28"/>
                <w:szCs w:val="28"/>
              </w:rPr>
            </w:pPr>
            <w:r>
              <w:rPr>
                <w:rFonts w:hint="eastAsia" w:ascii="宋体" w:hAnsi="宋体"/>
                <w:sz w:val="28"/>
                <w:szCs w:val="28"/>
              </w:rPr>
              <w:t>2</w:t>
            </w:r>
          </w:p>
        </w:tc>
        <w:tc>
          <w:tcPr>
            <w:tcW w:w="126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420" w:lineRule="exact"/>
              <w:rPr>
                <w:rFonts w:ascii="宋体" w:hAnsi="宋体"/>
                <w:sz w:val="28"/>
                <w:szCs w:val="28"/>
              </w:rPr>
            </w:pPr>
          </w:p>
        </w:tc>
        <w:tc>
          <w:tcPr>
            <w:tcW w:w="1417" w:type="dxa"/>
            <w:tcBorders>
              <w:top w:val="single" w:color="auto" w:sz="6" w:space="0"/>
              <w:left w:val="single" w:color="auto" w:sz="6" w:space="0"/>
              <w:bottom w:val="single" w:color="auto" w:sz="6" w:space="0"/>
              <w:right w:val="single" w:color="auto" w:sz="12" w:space="0"/>
            </w:tcBorders>
          </w:tcPr>
          <w:p>
            <w:pPr>
              <w:spacing w:line="42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649" w:type="dxa"/>
            <w:tcBorders>
              <w:top w:val="single" w:color="auto" w:sz="6" w:space="0"/>
              <w:left w:val="single" w:color="auto" w:sz="12" w:space="0"/>
              <w:bottom w:val="single" w:color="auto" w:sz="6" w:space="0"/>
              <w:right w:val="single" w:color="auto" w:sz="6" w:space="0"/>
            </w:tcBorders>
          </w:tcPr>
          <w:p>
            <w:pPr>
              <w:spacing w:line="420" w:lineRule="exact"/>
              <w:jc w:val="center"/>
              <w:rPr>
                <w:rFonts w:ascii="宋体" w:hAnsi="宋体"/>
                <w:sz w:val="28"/>
                <w:szCs w:val="28"/>
              </w:rPr>
            </w:pPr>
          </w:p>
          <w:p>
            <w:pPr>
              <w:spacing w:line="420" w:lineRule="exact"/>
              <w:jc w:val="center"/>
              <w:rPr>
                <w:rFonts w:ascii="宋体" w:hAnsi="宋体"/>
                <w:sz w:val="28"/>
                <w:szCs w:val="28"/>
              </w:rPr>
            </w:pPr>
            <w:r>
              <w:rPr>
                <w:rFonts w:hint="eastAsia" w:ascii="宋体" w:hAnsi="宋体"/>
                <w:sz w:val="28"/>
                <w:szCs w:val="28"/>
              </w:rPr>
              <w:t>3</w:t>
            </w:r>
          </w:p>
        </w:tc>
        <w:tc>
          <w:tcPr>
            <w:tcW w:w="1263" w:type="dxa"/>
            <w:tcBorders>
              <w:top w:val="single" w:color="auto" w:sz="6" w:space="0"/>
              <w:left w:val="single" w:color="auto" w:sz="6" w:space="0"/>
              <w:bottom w:val="single" w:color="auto" w:sz="6" w:space="0"/>
              <w:right w:val="single" w:color="auto" w:sz="6" w:space="0"/>
            </w:tcBorders>
            <w:vAlign w:val="center"/>
          </w:tcPr>
          <w:p>
            <w:pPr>
              <w:spacing w:line="420" w:lineRule="exact"/>
              <w:rPr>
                <w:rFonts w:ascii="宋体" w:hAnsi="宋体"/>
                <w:sz w:val="28"/>
                <w:szCs w:val="28"/>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420" w:lineRule="exact"/>
              <w:ind w:firstLine="560" w:firstLineChars="200"/>
              <w:rPr>
                <w:rFonts w:ascii="宋体" w:hAnsi="宋体"/>
                <w:sz w:val="28"/>
                <w:szCs w:val="28"/>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420" w:lineRule="exact"/>
              <w:rPr>
                <w:rFonts w:ascii="宋体" w:hAnsi="宋体"/>
                <w:sz w:val="28"/>
                <w:szCs w:val="28"/>
              </w:rPr>
            </w:pPr>
          </w:p>
        </w:tc>
        <w:tc>
          <w:tcPr>
            <w:tcW w:w="1417" w:type="dxa"/>
            <w:tcBorders>
              <w:top w:val="single" w:color="auto" w:sz="6" w:space="0"/>
              <w:left w:val="single" w:color="auto" w:sz="6" w:space="0"/>
              <w:bottom w:val="single" w:color="auto" w:sz="6" w:space="0"/>
              <w:right w:val="single" w:color="auto" w:sz="12" w:space="0"/>
            </w:tcBorders>
          </w:tcPr>
          <w:p>
            <w:pPr>
              <w:spacing w:line="42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jc w:val="center"/>
        </w:trPr>
        <w:tc>
          <w:tcPr>
            <w:tcW w:w="649" w:type="dxa"/>
            <w:tcBorders>
              <w:top w:val="single" w:color="auto" w:sz="6" w:space="0"/>
              <w:left w:val="single" w:color="auto" w:sz="12" w:space="0"/>
              <w:bottom w:val="single" w:color="auto" w:sz="6" w:space="0"/>
              <w:right w:val="single" w:color="auto" w:sz="6" w:space="0"/>
            </w:tcBorders>
          </w:tcPr>
          <w:p>
            <w:pPr>
              <w:spacing w:line="420" w:lineRule="exact"/>
              <w:jc w:val="center"/>
              <w:rPr>
                <w:rFonts w:ascii="宋体" w:hAnsi="宋体"/>
                <w:sz w:val="28"/>
                <w:szCs w:val="28"/>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 w:val="28"/>
                <w:szCs w:val="28"/>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420" w:lineRule="exact"/>
              <w:rPr>
                <w:rFonts w:ascii="宋体" w:hAnsi="宋体"/>
                <w:sz w:val="28"/>
                <w:szCs w:val="28"/>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420" w:lineRule="exact"/>
              <w:rPr>
                <w:rFonts w:ascii="宋体" w:hAnsi="宋体"/>
                <w:sz w:val="28"/>
                <w:szCs w:val="28"/>
              </w:rPr>
            </w:pPr>
          </w:p>
        </w:tc>
        <w:tc>
          <w:tcPr>
            <w:tcW w:w="1417" w:type="dxa"/>
            <w:tcBorders>
              <w:top w:val="single" w:color="auto" w:sz="6" w:space="0"/>
              <w:left w:val="single" w:color="auto" w:sz="6" w:space="0"/>
              <w:bottom w:val="single" w:color="auto" w:sz="6" w:space="0"/>
              <w:right w:val="single" w:color="auto" w:sz="12" w:space="0"/>
            </w:tcBorders>
          </w:tcPr>
          <w:p>
            <w:pPr>
              <w:spacing w:line="42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jc w:val="center"/>
        </w:trPr>
        <w:tc>
          <w:tcPr>
            <w:tcW w:w="649" w:type="dxa"/>
            <w:tcBorders>
              <w:top w:val="single" w:color="auto" w:sz="6" w:space="0"/>
              <w:left w:val="single" w:color="auto" w:sz="12" w:space="0"/>
              <w:bottom w:val="single" w:color="auto" w:sz="12" w:space="0"/>
              <w:right w:val="single" w:color="auto" w:sz="6" w:space="0"/>
            </w:tcBorders>
          </w:tcPr>
          <w:p>
            <w:pPr>
              <w:spacing w:line="420" w:lineRule="exact"/>
              <w:jc w:val="center"/>
              <w:rPr>
                <w:rFonts w:ascii="宋体" w:hAnsi="宋体"/>
                <w:sz w:val="28"/>
                <w:szCs w:val="28"/>
              </w:rPr>
            </w:pPr>
          </w:p>
        </w:tc>
        <w:tc>
          <w:tcPr>
            <w:tcW w:w="1263" w:type="dxa"/>
            <w:tcBorders>
              <w:top w:val="single" w:color="auto" w:sz="6" w:space="0"/>
              <w:left w:val="single" w:color="auto" w:sz="6" w:space="0"/>
              <w:bottom w:val="single" w:color="auto" w:sz="12" w:space="0"/>
              <w:right w:val="single" w:color="auto" w:sz="6" w:space="0"/>
            </w:tcBorders>
            <w:vAlign w:val="center"/>
          </w:tcPr>
          <w:p>
            <w:pPr>
              <w:spacing w:line="420" w:lineRule="exact"/>
              <w:jc w:val="center"/>
              <w:rPr>
                <w:rFonts w:ascii="宋体" w:hAnsi="宋体"/>
                <w:sz w:val="28"/>
                <w:szCs w:val="28"/>
              </w:rPr>
            </w:pPr>
          </w:p>
        </w:tc>
        <w:tc>
          <w:tcPr>
            <w:tcW w:w="2706" w:type="dxa"/>
            <w:tcBorders>
              <w:top w:val="single" w:color="auto" w:sz="6" w:space="0"/>
              <w:left w:val="single" w:color="auto" w:sz="6" w:space="0"/>
              <w:bottom w:val="single" w:color="auto" w:sz="12" w:space="0"/>
              <w:right w:val="single" w:color="auto" w:sz="6" w:space="0"/>
            </w:tcBorders>
            <w:vAlign w:val="center"/>
          </w:tcPr>
          <w:p>
            <w:pPr>
              <w:spacing w:line="420" w:lineRule="exact"/>
              <w:rPr>
                <w:rFonts w:ascii="宋体" w:hAnsi="宋体"/>
                <w:sz w:val="28"/>
                <w:szCs w:val="28"/>
              </w:rPr>
            </w:pPr>
          </w:p>
        </w:tc>
        <w:tc>
          <w:tcPr>
            <w:tcW w:w="2720" w:type="dxa"/>
            <w:tcBorders>
              <w:top w:val="single" w:color="auto" w:sz="6" w:space="0"/>
              <w:left w:val="single" w:color="auto" w:sz="6" w:space="0"/>
              <w:bottom w:val="single" w:color="auto" w:sz="12" w:space="0"/>
              <w:right w:val="single" w:color="auto" w:sz="6" w:space="0"/>
            </w:tcBorders>
            <w:vAlign w:val="center"/>
          </w:tcPr>
          <w:p>
            <w:pPr>
              <w:spacing w:line="420" w:lineRule="exact"/>
              <w:rPr>
                <w:rFonts w:ascii="宋体" w:hAnsi="宋体"/>
                <w:sz w:val="28"/>
                <w:szCs w:val="28"/>
              </w:rPr>
            </w:pPr>
          </w:p>
        </w:tc>
        <w:tc>
          <w:tcPr>
            <w:tcW w:w="1417" w:type="dxa"/>
            <w:tcBorders>
              <w:top w:val="single" w:color="auto" w:sz="6" w:space="0"/>
              <w:left w:val="single" w:color="auto" w:sz="6" w:space="0"/>
              <w:bottom w:val="single" w:color="auto" w:sz="12" w:space="0"/>
              <w:right w:val="single" w:color="auto" w:sz="12" w:space="0"/>
            </w:tcBorders>
          </w:tcPr>
          <w:p>
            <w:pPr>
              <w:spacing w:line="420" w:lineRule="exact"/>
              <w:rPr>
                <w:rFonts w:ascii="宋体" w:hAnsi="宋体"/>
                <w:sz w:val="28"/>
                <w:szCs w:val="28"/>
              </w:rPr>
            </w:pPr>
          </w:p>
        </w:tc>
      </w:tr>
    </w:tbl>
    <w:p>
      <w:pPr>
        <w:spacing w:line="420" w:lineRule="exact"/>
        <w:rPr>
          <w:rFonts w:ascii="宋体" w:hAnsi="宋体"/>
          <w:sz w:val="28"/>
          <w:szCs w:val="28"/>
          <w:u w:val="single"/>
        </w:rPr>
      </w:pPr>
    </w:p>
    <w:p>
      <w:pPr>
        <w:pStyle w:val="10"/>
        <w:snapToGrid w:val="0"/>
        <w:spacing w:line="420" w:lineRule="exact"/>
        <w:contextualSpacing/>
        <w:rPr>
          <w:rFonts w:hAnsi="宋体"/>
          <w:b/>
          <w:sz w:val="28"/>
          <w:szCs w:val="28"/>
        </w:rPr>
      </w:pPr>
      <w:r>
        <w:rPr>
          <w:rFonts w:hint="eastAsia" w:hAnsi="宋体"/>
          <w:b/>
          <w:sz w:val="28"/>
          <w:szCs w:val="28"/>
        </w:rPr>
        <w:t>注：</w:t>
      </w:r>
    </w:p>
    <w:p>
      <w:pPr>
        <w:pStyle w:val="10"/>
        <w:snapToGrid w:val="0"/>
        <w:spacing w:line="420" w:lineRule="exact"/>
        <w:ind w:firstLine="560" w:firstLineChars="200"/>
        <w:contextualSpacing/>
        <w:rPr>
          <w:rFonts w:hAnsi="宋体"/>
          <w:sz w:val="28"/>
          <w:szCs w:val="28"/>
        </w:rPr>
      </w:pPr>
      <w:r>
        <w:rPr>
          <w:rFonts w:hint="eastAsia" w:hAnsi="宋体"/>
          <w:sz w:val="28"/>
          <w:szCs w:val="28"/>
        </w:rPr>
        <w:t>1</w:t>
      </w:r>
      <w:r>
        <w:rPr>
          <w:rFonts w:hint="eastAsia" w:hAnsi="宋体"/>
          <w:b/>
          <w:sz w:val="28"/>
          <w:szCs w:val="28"/>
        </w:rPr>
        <w:t>、</w:t>
      </w:r>
      <w:r>
        <w:rPr>
          <w:rFonts w:hint="eastAsia" w:hAnsi="宋体"/>
          <w:sz w:val="28"/>
          <w:szCs w:val="28"/>
        </w:rPr>
        <w:t>投标人提交的投标文件中与招标文件第三部分“项目需求说明”中的商务、技术部分的要求有不同时，应逐条填列在偏离表中，否则将认为投标人接受招标文件的所有要求。</w:t>
      </w:r>
    </w:p>
    <w:p>
      <w:pPr>
        <w:pStyle w:val="10"/>
        <w:snapToGrid w:val="0"/>
        <w:spacing w:line="420" w:lineRule="exact"/>
        <w:ind w:firstLine="560" w:firstLineChars="200"/>
        <w:contextualSpacing/>
        <w:rPr>
          <w:rFonts w:hAnsi="宋体"/>
          <w:sz w:val="28"/>
          <w:szCs w:val="28"/>
        </w:rPr>
      </w:pPr>
      <w:r>
        <w:rPr>
          <w:rFonts w:hint="eastAsia" w:hAnsi="宋体"/>
          <w:sz w:val="28"/>
          <w:szCs w:val="28"/>
        </w:rPr>
        <w:t>2、“偏离说明”一栏选择“正偏离”、“负偏离”进行填写。正偏离的确认和负偏离的是否响应招标文件，经三分之二评委认定。</w:t>
      </w:r>
    </w:p>
    <w:p>
      <w:pPr>
        <w:snapToGrid w:val="0"/>
        <w:spacing w:line="420" w:lineRule="exact"/>
        <w:ind w:firstLine="560" w:firstLineChars="200"/>
        <w:contextualSpacing/>
        <w:rPr>
          <w:rFonts w:ascii="宋体" w:hAnsi="宋体"/>
          <w:sz w:val="28"/>
          <w:szCs w:val="28"/>
        </w:rPr>
      </w:pPr>
      <w:r>
        <w:rPr>
          <w:rFonts w:hint="eastAsia" w:ascii="宋体" w:hAnsi="宋体"/>
          <w:sz w:val="28"/>
          <w:szCs w:val="28"/>
        </w:rPr>
        <w:t>3、投标人如果虚假响应，将承担被没收全额投标保证金的风险。</w:t>
      </w:r>
    </w:p>
    <w:p>
      <w:pPr>
        <w:pStyle w:val="2"/>
      </w:pPr>
      <w:r>
        <w:rPr>
          <w:rFonts w:hint="eastAsia" w:ascii="宋体" w:hAnsi="宋体"/>
          <w:bCs/>
          <w:sz w:val="28"/>
          <w:szCs w:val="28"/>
        </w:rPr>
        <w:t>4、投标人若提供其他增值服务，可以在表中自行据实填写。</w:t>
      </w:r>
    </w:p>
    <w:p>
      <w:pPr>
        <w:pStyle w:val="42"/>
        <w:spacing w:line="420" w:lineRule="exact"/>
        <w:ind w:firstLine="0" w:firstLineChars="0"/>
        <w:rPr>
          <w:rFonts w:ascii="宋体" w:hAnsi="宋体"/>
          <w:sz w:val="24"/>
        </w:rPr>
      </w:pPr>
    </w:p>
    <w:p>
      <w:pPr>
        <w:pStyle w:val="42"/>
        <w:spacing w:line="420" w:lineRule="exact"/>
        <w:ind w:firstLine="0" w:firstLineChars="0"/>
        <w:rPr>
          <w:rFonts w:ascii="宋体" w:hAnsi="宋体"/>
          <w:sz w:val="24"/>
        </w:rPr>
      </w:pPr>
    </w:p>
    <w:p>
      <w:pPr>
        <w:pStyle w:val="42"/>
        <w:spacing w:line="420" w:lineRule="exact"/>
        <w:ind w:firstLine="0" w:firstLineChars="0"/>
        <w:rPr>
          <w:rFonts w:ascii="宋体" w:hAnsi="宋体"/>
          <w:sz w:val="24"/>
        </w:rPr>
      </w:pPr>
    </w:p>
    <w:p>
      <w:pPr>
        <w:pStyle w:val="42"/>
        <w:spacing w:line="420" w:lineRule="exact"/>
        <w:ind w:firstLine="0" w:firstLineChars="0"/>
        <w:rPr>
          <w:rFonts w:ascii="宋体" w:hAnsi="宋体"/>
          <w:sz w:val="24"/>
        </w:rPr>
      </w:pPr>
    </w:p>
    <w:p>
      <w:pPr>
        <w:snapToGrid w:val="0"/>
        <w:spacing w:line="420" w:lineRule="exact"/>
        <w:contextualSpacing/>
        <w:rPr>
          <w:rFonts w:ascii="宋体" w:hAnsi="宋体"/>
          <w:sz w:val="28"/>
          <w:szCs w:val="28"/>
        </w:rPr>
      </w:pPr>
    </w:p>
    <w:sectPr>
      <w:footerReference r:id="rId4" w:type="default"/>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706"/>
        <w:tab w:val="clear" w:pos="4153"/>
        <w:tab w:val="clear" w:pos="8306"/>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mjg+DdABAACqAwAADgAAAAAAAAABACAAAAAeAQAAZHJz&#10;L2Uyb0RvYy54bWxQSwUGAAAAAAYABgBZAQAAYAUAAAAA&#10;">
              <v:fill on="f" focussize="0,0"/>
              <v:stroke on="f"/>
              <v:imagedata o:title=""/>
              <o:lock v:ext="edit" aspectratio="f"/>
              <v:textbox inset="0mm,0mm,0mm,0mm" style="mso-fit-shape-to-text:t;">
                <w:txbxContent>
                  <w:p>
                    <w:pPr>
                      <w:pStyle w:val="14"/>
                    </w:pPr>
                  </w:p>
                </w:txbxContent>
              </v:textbox>
            </v:shape>
          </w:pict>
        </mc:Fallback>
      </mc:AlternateContent>
    </w:r>
    <w:r>
      <w:tab/>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jHnm/NABAACqAwAADgAAAAAAAAABACAAAAAeAQAAZHJz&#10;L2Uyb0RvYy54bWxQSwUGAAAAAAYABgBZAQAAYA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NGI1MzYwYjY4OTVlNWZkYTk4YzIzYzE3NjkxY2YifQ=="/>
  </w:docVars>
  <w:rsids>
    <w:rsidRoot w:val="004920AB"/>
    <w:rsid w:val="004920AB"/>
    <w:rsid w:val="0067532E"/>
    <w:rsid w:val="00D1322A"/>
    <w:rsid w:val="00EA190D"/>
    <w:rsid w:val="0A425697"/>
    <w:rsid w:val="219624CF"/>
    <w:rsid w:val="30E84059"/>
    <w:rsid w:val="407E4ADB"/>
    <w:rsid w:val="49A10911"/>
    <w:rsid w:val="5B4D7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qFormat="1" w:unhideWhenUsed="0" w:uiPriority="0" w:semiHidden="0" w:name="Normal Indent"/>
    <w:lsdException w:uiPriority="1" w:name="footnote text"/>
    <w:lsdException w:qFormat="1" w:uiPriority="0" w:semiHidden="0" w:name="annotation text"/>
    <w:lsdException w:qFormat="1" w:uiPriority="99" w:semiHidden="0" w:name="header"/>
    <w:lsdException w:qFormat="1" w:uiPriority="99" w:semiHidden="0" w:name="footer"/>
    <w:lsdException w:uiPriority="1" w:name="index heading"/>
    <w:lsdException w:qFormat="1" w:uiPriority="1" w:name="caption"/>
    <w:lsdException w:uiPriority="1" w:name="table of figures"/>
    <w:lsdException w:uiPriority="1" w:name="envelope address"/>
    <w:lsdException w:qFormat="1" w:unhideWhenUsed="0" w:uiPriority="0" w:semiHidden="0" w:name="envelope return"/>
    <w:lsdException w:uiPriority="1" w:name="footnote reference"/>
    <w:lsdException w:qFormat="1" w:uiPriority="0" w:semiHidden="0" w:name="annotation reference"/>
    <w:lsdException w:uiPriority="1" w:name="line number"/>
    <w:lsdException w:qFormat="1" w:unhideWhenUsed="0" w:uiPriority="0" w:semiHidden="0"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0" w:semiHidden="0" w:name="Title"/>
    <w:lsdException w:uiPriority="1" w:name="Closing"/>
    <w:lsdException w:uiPriority="1" w:name="Signature"/>
    <w:lsdException w:qFormat="1" w:uiPriority="1" w:name="Default Paragraph Font"/>
    <w:lsdException w:qFormat="1" w:uiPriority="0" w:semiHidden="0" w:name="Body Text"/>
    <w:lsdException w:qFormat="1" w:uiPriority="99"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qFormat="1" w:unhideWhenUsed="0" w:uiPriority="0" w:semiHidden="0" w:name="Date"/>
    <w:lsdException w:uiPriority="1" w:name="Body Text First Indent"/>
    <w:lsdException w:qFormat="1" w:unhideWhenUsed="0" w:uiPriority="0" w:semiHidden="0" w:name="Body Text First Indent 2"/>
    <w:lsdException w:uiPriority="1" w:name="Note Heading"/>
    <w:lsdException w:uiPriority="1" w:name="Body Text 2"/>
    <w:lsdException w:uiPriority="1" w:name="Body Text 3"/>
    <w:lsdException w:qFormat="1" w:unhideWhenUsed="0" w:uiPriority="99" w:semiHidden="0" w:name="Body Text Indent 2"/>
    <w:lsdException w:uiPriority="1" w:name="Body Text Indent 3"/>
    <w:lsdException w:uiPriority="1" w:name="Block Text"/>
    <w:lsdException w:qFormat="1" w:uiPriority="99" w:semiHidden="0" w:name="Hyperlink"/>
    <w:lsdException w:uiPriority="1" w:name="FollowedHyperlink"/>
    <w:lsdException w:qFormat="1" w:unhideWhenUsed="0" w:uiPriority="1" w:semiHidden="0" w:name="Strong"/>
    <w:lsdException w:qFormat="1" w:unhideWhenUsed="0" w:uiPriority="1" w:semiHidden="0" w:name="Emphasis"/>
    <w:lsdException w:uiPriority="1" w:name="Document Map"/>
    <w:lsdException w:qFormat="1" w:unhideWhenUsed="0" w:uiPriority="0" w:semiHidden="0" w:name="Plain Text"/>
    <w:lsdException w:uiPriority="1" w:name="E-mail Signature"/>
    <w:lsdException w:qFormat="1" w:uiPriority="0"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name="Normal Table"/>
    <w:lsdException w:qFormat="1" w:uiPriority="99"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iPriority="99" w:semiHidden="0" w:name="Balloon Text"/>
    <w:lsdException w:qFormat="1" w:unhideWhenUsed="0" w:uiPriority="59"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9"/>
    <w:qFormat/>
    <w:uiPriority w:val="9"/>
    <w:pPr>
      <w:keepNext/>
      <w:keepLines/>
      <w:spacing w:line="578" w:lineRule="auto"/>
      <w:outlineLvl w:val="0"/>
    </w:pPr>
    <w:rPr>
      <w:rFonts w:eastAsia="仿宋"/>
      <w:b/>
      <w:bCs/>
      <w:kern w:val="44"/>
      <w:sz w:val="28"/>
      <w:szCs w:val="44"/>
    </w:rPr>
  </w:style>
  <w:style w:type="paragraph" w:styleId="6">
    <w:name w:val="heading 2"/>
    <w:basedOn w:val="1"/>
    <w:next w:val="1"/>
    <w:link w:val="46"/>
    <w:unhideWhenUsed/>
    <w:qFormat/>
    <w:uiPriority w:val="9"/>
    <w:pPr>
      <w:keepNext/>
      <w:keepLines/>
      <w:spacing w:before="260" w:after="260" w:line="416" w:lineRule="auto"/>
      <w:outlineLvl w:val="1"/>
    </w:pPr>
    <w:rPr>
      <w:rFonts w:ascii="Cambria" w:hAnsi="Cambria"/>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200"/>
    </w:pPr>
    <w:rPr>
      <w:szCs w:val="20"/>
    </w:rPr>
  </w:style>
  <w:style w:type="paragraph" w:styleId="3">
    <w:name w:val="Body Text Indent"/>
    <w:basedOn w:val="1"/>
    <w:next w:val="4"/>
    <w:link w:val="35"/>
    <w:unhideWhenUsed/>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Normal Indent"/>
    <w:basedOn w:val="1"/>
    <w:link w:val="31"/>
    <w:qFormat/>
    <w:uiPriority w:val="0"/>
    <w:pPr>
      <w:adjustRightInd w:val="0"/>
      <w:spacing w:line="360" w:lineRule="atLeast"/>
      <w:ind w:firstLine="482"/>
      <w:textAlignment w:val="baseline"/>
    </w:pPr>
    <w:rPr>
      <w:kern w:val="0"/>
      <w:sz w:val="24"/>
    </w:rPr>
  </w:style>
  <w:style w:type="paragraph" w:styleId="8">
    <w:name w:val="annotation text"/>
    <w:basedOn w:val="1"/>
    <w:link w:val="28"/>
    <w:unhideWhenUsed/>
    <w:qFormat/>
    <w:uiPriority w:val="0"/>
    <w:pPr>
      <w:jc w:val="left"/>
    </w:pPr>
  </w:style>
  <w:style w:type="paragraph" w:styleId="9">
    <w:name w:val="Body Text"/>
    <w:basedOn w:val="1"/>
    <w:link w:val="25"/>
    <w:unhideWhenUsed/>
    <w:qFormat/>
    <w:uiPriority w:val="0"/>
    <w:pPr>
      <w:spacing w:after="120"/>
    </w:pPr>
  </w:style>
  <w:style w:type="paragraph" w:styleId="10">
    <w:name w:val="Plain Text"/>
    <w:basedOn w:val="1"/>
    <w:link w:val="36"/>
    <w:qFormat/>
    <w:uiPriority w:val="0"/>
    <w:rPr>
      <w:rFonts w:ascii="宋体" w:hAnsi="Courier New"/>
      <w:szCs w:val="21"/>
    </w:rPr>
  </w:style>
  <w:style w:type="paragraph" w:styleId="11">
    <w:name w:val="Date"/>
    <w:basedOn w:val="1"/>
    <w:next w:val="1"/>
    <w:link w:val="33"/>
    <w:qFormat/>
    <w:uiPriority w:val="0"/>
    <w:pPr>
      <w:ind w:left="100" w:leftChars="2500"/>
    </w:pPr>
  </w:style>
  <w:style w:type="paragraph" w:styleId="12">
    <w:name w:val="Body Text Indent 2"/>
    <w:basedOn w:val="1"/>
    <w:link w:val="34"/>
    <w:qFormat/>
    <w:uiPriority w:val="99"/>
    <w:pPr>
      <w:spacing w:after="120" w:line="480" w:lineRule="auto"/>
      <w:ind w:left="420" w:leftChars="200"/>
    </w:pPr>
    <w:rPr>
      <w:kern w:val="0"/>
      <w:sz w:val="20"/>
    </w:rPr>
  </w:style>
  <w:style w:type="paragraph" w:styleId="13">
    <w:name w:val="Balloon Text"/>
    <w:basedOn w:val="1"/>
    <w:link w:val="26"/>
    <w:unhideWhenUsed/>
    <w:qFormat/>
    <w:uiPriority w:val="99"/>
    <w:rPr>
      <w:sz w:val="18"/>
      <w:szCs w:val="18"/>
    </w:rPr>
  </w:style>
  <w:style w:type="paragraph" w:styleId="14">
    <w:name w:val="footer"/>
    <w:basedOn w:val="1"/>
    <w:link w:val="27"/>
    <w:unhideWhenUsed/>
    <w:qFormat/>
    <w:uiPriority w:val="99"/>
    <w:pPr>
      <w:tabs>
        <w:tab w:val="center" w:pos="4153"/>
        <w:tab w:val="right" w:pos="8306"/>
      </w:tabs>
      <w:snapToGrid w:val="0"/>
      <w:jc w:val="left"/>
    </w:pPr>
    <w:rPr>
      <w:sz w:val="18"/>
      <w:szCs w:val="18"/>
    </w:rPr>
  </w:style>
  <w:style w:type="paragraph" w:styleId="15">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7">
    <w:name w:val="Title"/>
    <w:basedOn w:val="1"/>
    <w:next w:val="1"/>
    <w:link w:val="47"/>
    <w:qFormat/>
    <w:uiPriority w:val="0"/>
    <w:pPr>
      <w:spacing w:before="240" w:after="60"/>
      <w:jc w:val="center"/>
      <w:outlineLvl w:val="0"/>
    </w:pPr>
    <w:rPr>
      <w:rFonts w:ascii="Cambria" w:hAnsi="Cambria"/>
      <w:b/>
      <w:bCs/>
      <w:kern w:val="0"/>
      <w:sz w:val="32"/>
      <w:szCs w:val="32"/>
    </w:rPr>
  </w:style>
  <w:style w:type="paragraph" w:styleId="18">
    <w:name w:val="annotation subject"/>
    <w:basedOn w:val="8"/>
    <w:next w:val="8"/>
    <w:link w:val="32"/>
    <w:unhideWhenUsed/>
    <w:qFormat/>
    <w:uiPriority w:val="99"/>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unhideWhenUsed/>
    <w:qFormat/>
    <w:uiPriority w:val="99"/>
    <w:rPr>
      <w:color w:val="0000FF"/>
      <w:u w:val="single"/>
    </w:rPr>
  </w:style>
  <w:style w:type="character" w:styleId="24">
    <w:name w:val="annotation reference"/>
    <w:unhideWhenUsed/>
    <w:qFormat/>
    <w:uiPriority w:val="0"/>
    <w:rPr>
      <w:sz w:val="21"/>
      <w:szCs w:val="21"/>
    </w:rPr>
  </w:style>
  <w:style w:type="character" w:customStyle="1" w:styleId="25">
    <w:name w:val="正文文本 Char"/>
    <w:link w:val="9"/>
    <w:qFormat/>
    <w:uiPriority w:val="0"/>
    <w:rPr>
      <w:kern w:val="2"/>
      <w:sz w:val="21"/>
      <w:szCs w:val="24"/>
    </w:rPr>
  </w:style>
  <w:style w:type="character" w:customStyle="1" w:styleId="26">
    <w:name w:val="批注框文本 Char"/>
    <w:link w:val="13"/>
    <w:qFormat/>
    <w:uiPriority w:val="99"/>
    <w:rPr>
      <w:rFonts w:ascii="Times New Roman" w:hAnsi="Times New Roman"/>
      <w:kern w:val="2"/>
      <w:sz w:val="18"/>
      <w:szCs w:val="18"/>
    </w:rPr>
  </w:style>
  <w:style w:type="character" w:customStyle="1" w:styleId="27">
    <w:name w:val="页脚 Char"/>
    <w:link w:val="14"/>
    <w:qFormat/>
    <w:uiPriority w:val="99"/>
    <w:rPr>
      <w:rFonts w:ascii="Times New Roman" w:hAnsi="Times New Roman"/>
      <w:kern w:val="2"/>
      <w:sz w:val="18"/>
      <w:szCs w:val="18"/>
    </w:rPr>
  </w:style>
  <w:style w:type="character" w:customStyle="1" w:styleId="28">
    <w:name w:val="批注文字 Char"/>
    <w:link w:val="8"/>
    <w:qFormat/>
    <w:uiPriority w:val="0"/>
    <w:rPr>
      <w:rFonts w:ascii="Times New Roman" w:hAnsi="Times New Roman"/>
      <w:kern w:val="2"/>
      <w:sz w:val="21"/>
      <w:szCs w:val="24"/>
    </w:rPr>
  </w:style>
  <w:style w:type="character" w:customStyle="1" w:styleId="29">
    <w:name w:val="正文缩进2格 Char"/>
    <w:link w:val="30"/>
    <w:qFormat/>
    <w:locked/>
    <w:uiPriority w:val="0"/>
    <w:rPr>
      <w:rFonts w:ascii="仿宋_GB2312" w:hAnsi="宋体" w:eastAsia="仿宋_GB2312"/>
      <w:sz w:val="31"/>
      <w:szCs w:val="28"/>
    </w:rPr>
  </w:style>
  <w:style w:type="paragraph" w:customStyle="1" w:styleId="30">
    <w:name w:val="正文缩进2格"/>
    <w:basedOn w:val="1"/>
    <w:link w:val="29"/>
    <w:qFormat/>
    <w:uiPriority w:val="0"/>
    <w:pPr>
      <w:spacing w:line="600" w:lineRule="exact"/>
      <w:ind w:firstLine="639" w:firstLineChars="206"/>
    </w:pPr>
    <w:rPr>
      <w:rFonts w:ascii="仿宋_GB2312" w:hAnsi="宋体" w:eastAsia="仿宋_GB2312"/>
      <w:kern w:val="0"/>
      <w:sz w:val="31"/>
      <w:szCs w:val="28"/>
    </w:rPr>
  </w:style>
  <w:style w:type="character" w:customStyle="1" w:styleId="31">
    <w:name w:val="正文缩进 Char"/>
    <w:link w:val="7"/>
    <w:qFormat/>
    <w:locked/>
    <w:uiPriority w:val="0"/>
    <w:rPr>
      <w:rFonts w:ascii="Times New Roman" w:hAnsi="Times New Roman"/>
      <w:sz w:val="24"/>
      <w:szCs w:val="24"/>
    </w:rPr>
  </w:style>
  <w:style w:type="character" w:customStyle="1" w:styleId="32">
    <w:name w:val="批注主题 Char"/>
    <w:link w:val="18"/>
    <w:semiHidden/>
    <w:qFormat/>
    <w:uiPriority w:val="99"/>
    <w:rPr>
      <w:rFonts w:ascii="Times New Roman" w:hAnsi="Times New Roman"/>
      <w:b/>
      <w:bCs/>
      <w:kern w:val="2"/>
      <w:sz w:val="21"/>
      <w:szCs w:val="24"/>
    </w:rPr>
  </w:style>
  <w:style w:type="character" w:customStyle="1" w:styleId="33">
    <w:name w:val="日期 Char"/>
    <w:link w:val="11"/>
    <w:qFormat/>
    <w:uiPriority w:val="0"/>
    <w:rPr>
      <w:rFonts w:ascii="Times New Roman" w:hAnsi="Times New Roman"/>
      <w:kern w:val="2"/>
      <w:sz w:val="21"/>
      <w:szCs w:val="24"/>
    </w:rPr>
  </w:style>
  <w:style w:type="character" w:customStyle="1" w:styleId="34">
    <w:name w:val="正文文本缩进 2 Char"/>
    <w:link w:val="12"/>
    <w:qFormat/>
    <w:uiPriority w:val="99"/>
    <w:rPr>
      <w:rFonts w:ascii="Times New Roman" w:hAnsi="Times New Roman" w:eastAsia="宋体" w:cs="Times New Roman"/>
      <w:szCs w:val="24"/>
    </w:rPr>
  </w:style>
  <w:style w:type="character" w:customStyle="1" w:styleId="35">
    <w:name w:val="正文文本缩进 Char"/>
    <w:link w:val="3"/>
    <w:semiHidden/>
    <w:qFormat/>
    <w:uiPriority w:val="99"/>
    <w:rPr>
      <w:rFonts w:ascii="Times New Roman" w:hAnsi="Times New Roman"/>
      <w:kern w:val="2"/>
      <w:sz w:val="21"/>
      <w:szCs w:val="24"/>
    </w:rPr>
  </w:style>
  <w:style w:type="character" w:customStyle="1" w:styleId="36">
    <w:name w:val="纯文本 Char"/>
    <w:link w:val="10"/>
    <w:qFormat/>
    <w:locked/>
    <w:uiPriority w:val="0"/>
    <w:rPr>
      <w:rFonts w:ascii="宋体" w:hAnsi="Courier New" w:cs="Courier New"/>
      <w:kern w:val="2"/>
      <w:sz w:val="21"/>
      <w:szCs w:val="21"/>
    </w:rPr>
  </w:style>
  <w:style w:type="character" w:customStyle="1" w:styleId="37">
    <w:name w:val="纯文本 Char1"/>
    <w:semiHidden/>
    <w:qFormat/>
    <w:uiPriority w:val="99"/>
    <w:rPr>
      <w:rFonts w:ascii="宋体" w:hAnsi="Courier New" w:cs="Courier New"/>
      <w:kern w:val="2"/>
      <w:sz w:val="21"/>
      <w:szCs w:val="21"/>
    </w:rPr>
  </w:style>
  <w:style w:type="character" w:customStyle="1" w:styleId="38">
    <w:name w:val="页眉 Char"/>
    <w:link w:val="15"/>
    <w:qFormat/>
    <w:uiPriority w:val="99"/>
    <w:rPr>
      <w:rFonts w:ascii="Times New Roman" w:hAnsi="Times New Roman"/>
      <w:kern w:val="2"/>
      <w:sz w:val="18"/>
      <w:szCs w:val="18"/>
    </w:rPr>
  </w:style>
  <w:style w:type="character" w:customStyle="1" w:styleId="39">
    <w:name w:val="标题 1 Char"/>
    <w:link w:val="5"/>
    <w:qFormat/>
    <w:uiPriority w:val="9"/>
    <w:rPr>
      <w:rFonts w:ascii="Times New Roman" w:hAnsi="Times New Roman" w:eastAsia="仿宋"/>
      <w:b/>
      <w:bCs/>
      <w:kern w:val="44"/>
      <w:sz w:val="28"/>
      <w:szCs w:val="44"/>
    </w:rPr>
  </w:style>
  <w:style w:type="character" w:customStyle="1" w:styleId="40">
    <w:name w:val="标题 1 Char Char"/>
    <w:qFormat/>
    <w:uiPriority w:val="0"/>
    <w:rPr>
      <w:rFonts w:eastAsia="宋体"/>
      <w:b/>
      <w:spacing w:val="-2"/>
      <w:sz w:val="24"/>
      <w:lang w:val="en-US" w:eastAsia="zh-CN" w:bidi="ar-SA"/>
    </w:rPr>
  </w:style>
  <w:style w:type="paragraph" w:customStyle="1" w:styleId="41">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42">
    <w:name w:val="List Paragraph"/>
    <w:basedOn w:val="1"/>
    <w:qFormat/>
    <w:uiPriority w:val="34"/>
    <w:pPr>
      <w:ind w:firstLine="420" w:firstLineChars="200"/>
    </w:pPr>
  </w:style>
  <w:style w:type="paragraph" w:customStyle="1" w:styleId="43">
    <w:name w:val="ads:正文不缩进"/>
    <w:basedOn w:val="1"/>
    <w:next w:val="1"/>
    <w:qFormat/>
    <w:uiPriority w:val="0"/>
    <w:pPr>
      <w:adjustRightInd w:val="0"/>
      <w:spacing w:line="360" w:lineRule="auto"/>
      <w:ind w:firstLine="480" w:firstLineChars="200"/>
    </w:pPr>
    <w:rPr>
      <w:sz w:val="24"/>
    </w:rPr>
  </w:style>
  <w:style w:type="paragraph" w:customStyle="1" w:styleId="44">
    <w:name w:val="Heading 5"/>
    <w:basedOn w:val="1"/>
    <w:qFormat/>
    <w:uiPriority w:val="1"/>
    <w:pPr>
      <w:autoSpaceDE w:val="0"/>
      <w:autoSpaceDN w:val="0"/>
      <w:ind w:left="374"/>
      <w:jc w:val="left"/>
      <w:outlineLvl w:val="5"/>
    </w:pPr>
    <w:rPr>
      <w:rFonts w:ascii="宋体" w:hAnsi="宋体" w:cs="宋体"/>
      <w:b/>
      <w:bCs/>
      <w:kern w:val="0"/>
      <w:sz w:val="20"/>
      <w:szCs w:val="20"/>
      <w:lang w:val="zh-CN" w:bidi="zh-CN"/>
    </w:rPr>
  </w:style>
  <w:style w:type="paragraph" w:customStyle="1" w:styleId="45">
    <w:name w:val="msonormalcxspmiddle"/>
    <w:basedOn w:val="1"/>
    <w:qFormat/>
    <w:uiPriority w:val="0"/>
    <w:pPr>
      <w:widowControl/>
      <w:spacing w:before="100" w:beforeAutospacing="1" w:after="100" w:afterAutospacing="1"/>
      <w:jc w:val="left"/>
    </w:pPr>
    <w:rPr>
      <w:rFonts w:ascii="宋体" w:hAnsi="宋体" w:cs="宋体"/>
      <w:kern w:val="0"/>
      <w:sz w:val="24"/>
    </w:rPr>
  </w:style>
  <w:style w:type="character" w:customStyle="1" w:styleId="46">
    <w:name w:val="标题 2 Char"/>
    <w:basedOn w:val="21"/>
    <w:link w:val="6"/>
    <w:qFormat/>
    <w:uiPriority w:val="9"/>
    <w:rPr>
      <w:rFonts w:ascii="Cambria" w:hAnsi="Cambria"/>
      <w:b/>
      <w:bCs/>
      <w:kern w:val="2"/>
      <w:sz w:val="32"/>
      <w:szCs w:val="32"/>
    </w:rPr>
  </w:style>
  <w:style w:type="character" w:customStyle="1" w:styleId="47">
    <w:name w:val="标题 Char"/>
    <w:basedOn w:val="21"/>
    <w:link w:val="17"/>
    <w:qFormat/>
    <w:uiPriority w:val="0"/>
    <w:rPr>
      <w:rFonts w:ascii="Cambria" w:hAnsi="Cambria"/>
      <w:b/>
      <w:bCs/>
      <w:sz w:val="32"/>
      <w:szCs w:val="32"/>
    </w:rPr>
  </w:style>
  <w:style w:type="paragraph" w:customStyle="1" w:styleId="4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49">
    <w:name w:val="网格型1"/>
    <w:basedOn w:val="1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4821</Words>
  <Characters>27485</Characters>
  <Lines>229</Lines>
  <Paragraphs>64</Paragraphs>
  <TotalTime>104</TotalTime>
  <ScaleCrop>false</ScaleCrop>
  <LinksUpToDate>false</LinksUpToDate>
  <CharactersWithSpaces>32242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2021-01-26T02:54:00Z</dcterms:created>
  <dc:creator>丁晓华</dc:creator>
  <cp:lastModifiedBy>bingleton</cp:lastModifiedBy>
  <cp:lastPrinted>2023-11-28T01:22:38Z</cp:lastPrinted>
  <dcterms:modified xsi:type="dcterms:W3CDTF">2023-11-28T08:31:09Z</dcterms:modified>
  <dc:title>城市公共交通客车采购项目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ED246D9534234265AF779B171CE54BA5_13</vt:lpwstr>
  </property>
</Properties>
</file>